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EFA7" w14:textId="731BB092" w:rsidR="00A50B04" w:rsidRPr="00A50B04" w:rsidRDefault="00A50B04" w:rsidP="00BF4D6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val="lv-LV" w:eastAsia="lv-LV"/>
        </w:rPr>
      </w:pPr>
      <w:r w:rsidRPr="00A50B04">
        <w:rPr>
          <w:rFonts w:ascii="Calibri" w:eastAsia="Times New Roman" w:hAnsi="Calibri" w:cs="Calibri"/>
          <w:b/>
          <w:bCs/>
          <w:color w:val="000000"/>
          <w:sz w:val="28"/>
          <w:szCs w:val="28"/>
          <w:lang w:val="lv-LV" w:eastAsia="lv-LV"/>
        </w:rPr>
        <w:t>Mācību par koučinga tehniku izmantošanu darbam publiskajā pārvaldē</w:t>
      </w:r>
    </w:p>
    <w:p w14:paraId="0851B5F9" w14:textId="4C92A73A" w:rsidR="00A50B04" w:rsidRPr="00A50B04" w:rsidRDefault="00AF3403" w:rsidP="00BF4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lv-LV" w:eastAsia="lv-LV"/>
        </w:rPr>
        <w:t>PROGRAMMAS APRAKSTS</w:t>
      </w:r>
    </w:p>
    <w:p w14:paraId="559886F9" w14:textId="77777777" w:rsidR="00A50B04" w:rsidRPr="00A50B04" w:rsidRDefault="00A50B04" w:rsidP="00BF4D6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77EECD3" w14:textId="77777777" w:rsidR="00A50B04" w:rsidRPr="00A50B04" w:rsidRDefault="00A50B04" w:rsidP="00BF4D60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DD68063" w14:textId="51CC9DF6" w:rsidR="007A7D27" w:rsidRPr="00A50B04" w:rsidRDefault="007A7D27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A50B04">
        <w:rPr>
          <w:rFonts w:cstheme="minorHAnsi"/>
          <w:b/>
          <w:sz w:val="24"/>
          <w:szCs w:val="24"/>
          <w:lang w:val="lv-LV"/>
        </w:rPr>
        <w:t>Mācību mērķis:</w:t>
      </w:r>
      <w:r w:rsidRPr="00A50B04">
        <w:rPr>
          <w:rFonts w:cstheme="minorHAnsi"/>
          <w:sz w:val="24"/>
          <w:szCs w:val="24"/>
          <w:lang w:val="lv-LV"/>
        </w:rPr>
        <w:t xml:space="preserve"> iemācīties praktiski izmantot koučinga instrumentus ikdienas darbā ar darbiniekiem un citām struktūrvienībām</w:t>
      </w:r>
      <w:r w:rsidR="00BE3C6C" w:rsidRPr="00A50B04">
        <w:rPr>
          <w:rFonts w:cstheme="minorHAnsi"/>
          <w:sz w:val="24"/>
          <w:szCs w:val="24"/>
          <w:lang w:val="lv-LV"/>
        </w:rPr>
        <w:t>, lai uzlabotu vadītāja darba produktivitāti individuāli un komandās.</w:t>
      </w:r>
      <w:bookmarkStart w:id="0" w:name="_GoBack"/>
      <w:bookmarkEnd w:id="0"/>
    </w:p>
    <w:p w14:paraId="160359A4" w14:textId="77777777" w:rsidR="00A50B04" w:rsidRPr="00A50B04" w:rsidRDefault="00A50B04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284E78B3" w14:textId="77777777" w:rsidR="00A50B04" w:rsidRPr="00A50B04" w:rsidRDefault="007A7D27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A50B04">
        <w:rPr>
          <w:rFonts w:cstheme="minorHAnsi"/>
          <w:b/>
          <w:sz w:val="24"/>
          <w:szCs w:val="24"/>
          <w:lang w:val="lv-LV"/>
        </w:rPr>
        <w:t>Mācību formāts:</w:t>
      </w:r>
      <w:r w:rsidRPr="00A50B04">
        <w:rPr>
          <w:rFonts w:cstheme="minorHAnsi"/>
          <w:sz w:val="24"/>
          <w:szCs w:val="24"/>
          <w:lang w:val="lv-LV"/>
        </w:rPr>
        <w:t xml:space="preserve"> 5 moduļi + individuālais darbs</w:t>
      </w:r>
    </w:p>
    <w:p w14:paraId="760684D4" w14:textId="77777777" w:rsidR="00A50B04" w:rsidRPr="00A50B04" w:rsidRDefault="00A50B04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ED66AD7" w14:textId="0560ED9F" w:rsidR="00A50B04" w:rsidRPr="00A50B04" w:rsidRDefault="0063253E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 w:rsidRPr="00A50B04">
        <w:rPr>
          <w:rFonts w:cstheme="minorHAnsi"/>
          <w:sz w:val="24"/>
          <w:szCs w:val="24"/>
          <w:lang w:val="lv-LV"/>
        </w:rPr>
        <w:t xml:space="preserve">Mācību process tiks </w:t>
      </w:r>
      <w:r w:rsidR="005759DC">
        <w:rPr>
          <w:rFonts w:cstheme="minorHAnsi"/>
          <w:sz w:val="24"/>
          <w:szCs w:val="24"/>
          <w:lang w:val="lv-LV"/>
        </w:rPr>
        <w:t xml:space="preserve">organizēts </w:t>
      </w:r>
      <w:r w:rsidRPr="00A50B04">
        <w:rPr>
          <w:rFonts w:cstheme="minorHAnsi"/>
          <w:sz w:val="24"/>
          <w:szCs w:val="24"/>
          <w:lang w:val="lv-LV"/>
        </w:rPr>
        <w:t xml:space="preserve">pa moduļiem par konkrētām tēmām, kas ir balstītas uz </w:t>
      </w:r>
      <w:r w:rsidR="00A50B04" w:rsidRPr="00A50B04">
        <w:rPr>
          <w:rFonts w:cstheme="minorHAnsi"/>
          <w:sz w:val="24"/>
          <w:szCs w:val="24"/>
          <w:lang w:val="lv-LV"/>
        </w:rPr>
        <w:t>aptaujas rezultātiem par publiskās pārvaldes darbinieku aktuālām mācīšanās vajadzībām</w:t>
      </w:r>
      <w:r w:rsidRPr="00A50B04">
        <w:rPr>
          <w:rFonts w:cstheme="minorHAnsi"/>
          <w:sz w:val="24"/>
          <w:szCs w:val="24"/>
          <w:lang w:val="lv-LV"/>
        </w:rPr>
        <w:t>.</w:t>
      </w:r>
      <w:r w:rsidR="00520796" w:rsidRPr="00A50B04">
        <w:rPr>
          <w:rFonts w:cstheme="minorHAnsi"/>
          <w:sz w:val="24"/>
          <w:szCs w:val="24"/>
          <w:lang w:val="lv-LV"/>
        </w:rPr>
        <w:t xml:space="preserve"> Katrā modulī ir viena tēma, kas parāda gan pašas tehnikas iz</w:t>
      </w:r>
      <w:r w:rsidR="00A50B04" w:rsidRPr="00A50B04">
        <w:rPr>
          <w:rFonts w:cstheme="minorHAnsi"/>
          <w:sz w:val="24"/>
          <w:szCs w:val="24"/>
          <w:lang w:val="lv-LV"/>
        </w:rPr>
        <w:t>mantošanu, gan arī ir praktisk</w:t>
      </w:r>
      <w:r w:rsidR="00520796" w:rsidRPr="00A50B04">
        <w:rPr>
          <w:rFonts w:cstheme="minorHAnsi"/>
          <w:sz w:val="24"/>
          <w:szCs w:val="24"/>
          <w:lang w:val="lv-LV"/>
        </w:rPr>
        <w:t xml:space="preserve">s uzdevums </w:t>
      </w:r>
      <w:r w:rsidR="00A50B04" w:rsidRPr="00A50B04">
        <w:rPr>
          <w:rFonts w:cstheme="minorHAnsi"/>
          <w:sz w:val="24"/>
          <w:szCs w:val="24"/>
          <w:lang w:val="lv-LV"/>
        </w:rPr>
        <w:t>tehnikas izmēģināšanai praksē</w:t>
      </w:r>
      <w:r w:rsidR="00520796" w:rsidRPr="00A50B04">
        <w:rPr>
          <w:rFonts w:cstheme="minorHAnsi"/>
          <w:sz w:val="24"/>
          <w:szCs w:val="24"/>
          <w:lang w:val="lv-LV"/>
        </w:rPr>
        <w:t>.</w:t>
      </w:r>
    </w:p>
    <w:p w14:paraId="318F5529" w14:textId="77777777" w:rsidR="00A50B04" w:rsidRPr="00A50B04" w:rsidRDefault="00A50B04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032AFC2D" w14:textId="3386C845" w:rsidR="00B1572E" w:rsidRPr="00A50B04" w:rsidRDefault="005759DC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  <w:r>
        <w:rPr>
          <w:rFonts w:cstheme="minorHAnsi"/>
          <w:sz w:val="24"/>
          <w:szCs w:val="24"/>
          <w:lang w:val="lv-LV"/>
        </w:rPr>
        <w:t>Katrā modulī plānota</w:t>
      </w:r>
      <w:r w:rsidR="00B961F6" w:rsidRPr="00A50B04">
        <w:rPr>
          <w:rFonts w:cstheme="minorHAnsi"/>
          <w:sz w:val="24"/>
          <w:szCs w:val="24"/>
          <w:lang w:val="lv-LV"/>
        </w:rPr>
        <w:t xml:space="preserve"> 30% teorija un 70% praktiskais darbs, lai uzreiz </w:t>
      </w:r>
      <w:r>
        <w:rPr>
          <w:rFonts w:cstheme="minorHAnsi"/>
          <w:sz w:val="24"/>
          <w:szCs w:val="24"/>
          <w:lang w:val="lv-LV"/>
        </w:rPr>
        <w:t>iz</w:t>
      </w:r>
      <w:r w:rsidR="00B961F6" w:rsidRPr="00A50B04">
        <w:rPr>
          <w:rFonts w:cstheme="minorHAnsi"/>
          <w:sz w:val="24"/>
          <w:szCs w:val="24"/>
          <w:lang w:val="lv-LV"/>
        </w:rPr>
        <w:t>mēģinātu un mācītos konkrētos instrumentus</w:t>
      </w:r>
      <w:r>
        <w:rPr>
          <w:rFonts w:cstheme="minorHAnsi"/>
          <w:sz w:val="24"/>
          <w:szCs w:val="24"/>
          <w:lang w:val="lv-LV"/>
        </w:rPr>
        <w:t xml:space="preserve"> pielietot praksē</w:t>
      </w:r>
      <w:r w:rsidR="00B961F6" w:rsidRPr="00A50B04">
        <w:rPr>
          <w:rFonts w:cstheme="minorHAnsi"/>
          <w:sz w:val="24"/>
          <w:szCs w:val="24"/>
          <w:lang w:val="lv-LV"/>
        </w:rPr>
        <w:t xml:space="preserve">. </w:t>
      </w:r>
      <w:r w:rsidR="00B1572E" w:rsidRPr="00A50B04">
        <w:rPr>
          <w:rFonts w:cstheme="minorHAnsi"/>
          <w:sz w:val="24"/>
          <w:szCs w:val="24"/>
          <w:lang w:val="lv-LV"/>
        </w:rPr>
        <w:t xml:space="preserve">Katram dalībniekam būs iespēja </w:t>
      </w:r>
      <w:r w:rsidR="00BA4199" w:rsidRPr="00A50B04">
        <w:rPr>
          <w:rFonts w:cstheme="minorHAnsi"/>
          <w:sz w:val="24"/>
          <w:szCs w:val="24"/>
          <w:lang w:val="lv-LV"/>
        </w:rPr>
        <w:t>apmeklēt vienu koučinga sesiju ar treneri-kouču par tēmu, kas skar personīgo attīstību un koučinga izpratnes jautājumus.</w:t>
      </w:r>
    </w:p>
    <w:p w14:paraId="25CEF50C" w14:textId="0F9B9345" w:rsidR="000552E9" w:rsidRPr="00A50B04" w:rsidRDefault="000552E9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4961"/>
        <w:gridCol w:w="2977"/>
      </w:tblGrid>
      <w:tr w:rsidR="00DA59FD" w:rsidRPr="00A50B04" w14:paraId="33D28783" w14:textId="77777777" w:rsidTr="00A50B04">
        <w:trPr>
          <w:tblHeader/>
        </w:trPr>
        <w:tc>
          <w:tcPr>
            <w:tcW w:w="2127" w:type="dxa"/>
            <w:vAlign w:val="center"/>
          </w:tcPr>
          <w:p w14:paraId="0B011963" w14:textId="5F058BDC" w:rsidR="00DA59FD" w:rsidRPr="00A50B04" w:rsidRDefault="00DA59FD" w:rsidP="00BF4D60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b/>
                <w:bCs/>
                <w:sz w:val="24"/>
                <w:szCs w:val="24"/>
                <w:lang w:val="lv-LV"/>
              </w:rPr>
              <w:t>Tēma</w:t>
            </w:r>
          </w:p>
        </w:tc>
        <w:tc>
          <w:tcPr>
            <w:tcW w:w="4961" w:type="dxa"/>
            <w:vAlign w:val="center"/>
          </w:tcPr>
          <w:p w14:paraId="44379107" w14:textId="1C6936FC" w:rsidR="00DA59FD" w:rsidRPr="00A50B04" w:rsidRDefault="00DA59FD" w:rsidP="00BF4D60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b/>
                <w:bCs/>
                <w:sz w:val="24"/>
                <w:szCs w:val="24"/>
                <w:lang w:val="lv-LV"/>
              </w:rPr>
              <w:t>Tēmas izklāsts</w:t>
            </w:r>
          </w:p>
        </w:tc>
        <w:tc>
          <w:tcPr>
            <w:tcW w:w="2977" w:type="dxa"/>
            <w:vAlign w:val="center"/>
          </w:tcPr>
          <w:p w14:paraId="458C562B" w14:textId="54D9B8DF" w:rsidR="00DA59FD" w:rsidRPr="00A50B04" w:rsidRDefault="00DA59FD" w:rsidP="00BF4D60">
            <w:pPr>
              <w:jc w:val="both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b/>
                <w:bCs/>
                <w:sz w:val="24"/>
                <w:szCs w:val="24"/>
                <w:lang w:val="lv-LV"/>
              </w:rPr>
              <w:t>Sasniedzamais rezultāts</w:t>
            </w:r>
          </w:p>
        </w:tc>
      </w:tr>
      <w:tr w:rsidR="00DA59FD" w:rsidRPr="00A50B04" w14:paraId="7E0913AD" w14:textId="77777777" w:rsidTr="00A50B04">
        <w:trPr>
          <w:trHeight w:val="422"/>
        </w:trPr>
        <w:tc>
          <w:tcPr>
            <w:tcW w:w="2127" w:type="dxa"/>
          </w:tcPr>
          <w:p w14:paraId="2EA588E7" w14:textId="36D4042B" w:rsidR="00DA59FD" w:rsidRPr="00A50B04" w:rsidRDefault="00A50B04" w:rsidP="00BF4D6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cstheme="minorHAnsi"/>
                <w:b/>
                <w:sz w:val="24"/>
                <w:szCs w:val="24"/>
                <w:lang w:val="lv-LV"/>
              </w:rPr>
            </w:pP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Ievads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koučinga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tehniku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izmantošanā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koučinga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process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pēc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GROW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modeļa</w:t>
            </w:r>
            <w:proofErr w:type="spellEnd"/>
          </w:p>
        </w:tc>
        <w:tc>
          <w:tcPr>
            <w:tcW w:w="4961" w:type="dxa"/>
          </w:tcPr>
          <w:p w14:paraId="5C542C9A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Koučinga pamatmodelis:</w:t>
            </w:r>
          </w:p>
          <w:p w14:paraId="3F8AB06E" w14:textId="4971F932" w:rsidR="00DA59FD" w:rsidRPr="00A50B04" w:rsidRDefault="00DA59FD" w:rsidP="00BF4D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GROW soļi</w:t>
            </w:r>
          </w:p>
          <w:p w14:paraId="7EE18836" w14:textId="77777777" w:rsidR="00DA59FD" w:rsidRPr="00A50B04" w:rsidRDefault="00DA59FD" w:rsidP="00BF4D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SMART</w:t>
            </w:r>
          </w:p>
          <w:p w14:paraId="53CDEFD2" w14:textId="77777777" w:rsidR="00DA59FD" w:rsidRPr="00A50B04" w:rsidRDefault="00DA59FD" w:rsidP="00BF4D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Prioritāšu noteikšana</w:t>
            </w:r>
          </w:p>
          <w:p w14:paraId="453B8225" w14:textId="77777777" w:rsidR="00DA59FD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Konkrēto moduļu iepazīšana, praktiskai</w:t>
            </w:r>
            <w:r w:rsidR="0087748B" w:rsidRPr="00A50B04">
              <w:rPr>
                <w:rFonts w:cstheme="minorHAnsi"/>
                <w:sz w:val="24"/>
                <w:szCs w:val="24"/>
                <w:lang w:val="lv-LV"/>
              </w:rPr>
              <w:t>s darbs ar katru no modeļiem, soļi kā izmantot katru no modeļiem darba vietā – sanāksmē, individuāli u.c.</w:t>
            </w:r>
          </w:p>
          <w:p w14:paraId="1F81D75E" w14:textId="66BD3319" w:rsidR="00A50B04" w:rsidRPr="00A50B04" w:rsidRDefault="00A50B04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74815C5" w14:textId="67DA495F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Spēja nosaukt koučinga modeļus un galvenos soļus</w:t>
            </w:r>
          </w:p>
          <w:p w14:paraId="20FF9237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Izpratne par koučinga rīku izmantošanu</w:t>
            </w:r>
          </w:p>
          <w:p w14:paraId="71EF2270" w14:textId="498C28A1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DA59FD" w:rsidRPr="00A50B04" w14:paraId="769DF446" w14:textId="77777777" w:rsidTr="00A50B04">
        <w:tc>
          <w:tcPr>
            <w:tcW w:w="2127" w:type="dxa"/>
          </w:tcPr>
          <w:p w14:paraId="3D44D0C1" w14:textId="629A4378" w:rsidR="00DA59FD" w:rsidRPr="00A50B04" w:rsidRDefault="00A50B04" w:rsidP="00BF4D60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sz w:val="24"/>
                <w:szCs w:val="24"/>
                <w:lang w:val="lv-LV"/>
              </w:rPr>
            </w:pP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Konstruktīva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atgriezeniskā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saite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nosacījumi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rīki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tās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veiksmīgai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īstenošanai</w:t>
            </w:r>
            <w:proofErr w:type="spellEnd"/>
          </w:p>
        </w:tc>
        <w:tc>
          <w:tcPr>
            <w:tcW w:w="4961" w:type="dxa"/>
          </w:tcPr>
          <w:p w14:paraId="16161788" w14:textId="1C7F7909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Atgriezeniskās saites nozīme darba vietā</w:t>
            </w:r>
            <w:r w:rsidR="00C477D0" w:rsidRPr="00A50B04">
              <w:rPr>
                <w:rFonts w:cstheme="minorHAnsi"/>
                <w:sz w:val="24"/>
                <w:szCs w:val="24"/>
                <w:lang w:val="lv-LV"/>
              </w:rPr>
              <w:t xml:space="preserve"> – kāpēc ir svarīgi sniegt atgriezenisko saiti. Kā atgriezeniskā saite var ietekmēt motivāciju un darba efektiv</w:t>
            </w:r>
            <w:r w:rsidR="00D0225C" w:rsidRPr="00A50B04">
              <w:rPr>
                <w:rFonts w:cstheme="minorHAnsi"/>
                <w:sz w:val="24"/>
                <w:szCs w:val="24"/>
                <w:lang w:val="lv-LV"/>
              </w:rPr>
              <w:t>it</w:t>
            </w:r>
            <w:r w:rsidR="00C477D0" w:rsidRPr="00A50B04">
              <w:rPr>
                <w:rFonts w:cstheme="minorHAnsi"/>
                <w:sz w:val="24"/>
                <w:szCs w:val="24"/>
                <w:lang w:val="lv-LV"/>
              </w:rPr>
              <w:t>āti.</w:t>
            </w:r>
          </w:p>
          <w:p w14:paraId="7848EB4B" w14:textId="6070E25E" w:rsidR="00DA59FD" w:rsidRPr="00A50B04" w:rsidRDefault="00C477D0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Efektīv</w:t>
            </w:r>
            <w:r w:rsidR="00EF0FD9" w:rsidRPr="00A50B04">
              <w:rPr>
                <w:rFonts w:cstheme="minorHAnsi"/>
                <w:sz w:val="24"/>
                <w:szCs w:val="24"/>
                <w:lang w:val="lv-LV"/>
              </w:rPr>
              <w:t>ās atgriezeniskās saites rīki:</w:t>
            </w:r>
          </w:p>
          <w:p w14:paraId="1A732661" w14:textId="77777777" w:rsidR="00DA59FD" w:rsidRPr="00A50B04" w:rsidRDefault="00DA59FD" w:rsidP="00BF4D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Hamburgers</w:t>
            </w:r>
          </w:p>
          <w:p w14:paraId="0FC42D94" w14:textId="514DFC39" w:rsidR="00DA59FD" w:rsidRPr="00A50B04" w:rsidRDefault="00DA59FD" w:rsidP="00BF4D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FUKO</w:t>
            </w:r>
          </w:p>
          <w:p w14:paraId="37D1EB9A" w14:textId="6C7E58E4" w:rsidR="00DA59FD" w:rsidRPr="00A50B04" w:rsidRDefault="00840F79" w:rsidP="00BF4D6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SBI</w:t>
            </w:r>
            <w:r w:rsidR="00D0225C" w:rsidRPr="00A50B04">
              <w:rPr>
                <w:rFonts w:cstheme="minorHAnsi"/>
                <w:sz w:val="24"/>
                <w:szCs w:val="24"/>
                <w:lang w:val="lv-LV"/>
              </w:rPr>
              <w:t xml:space="preserve">, Star, Deck </w:t>
            </w:r>
            <w:r w:rsidR="00DA59FD" w:rsidRPr="00A50B04">
              <w:rPr>
                <w:rFonts w:cstheme="minorHAnsi"/>
                <w:sz w:val="24"/>
                <w:szCs w:val="24"/>
                <w:lang w:val="lv-LV"/>
              </w:rPr>
              <w:t>U.c.</w:t>
            </w:r>
          </w:p>
          <w:p w14:paraId="16FC9492" w14:textId="77777777" w:rsidR="00DA59FD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Kā izmantot GROW</w:t>
            </w:r>
            <w:r w:rsidR="00D0225C" w:rsidRPr="00A50B04">
              <w:rPr>
                <w:rFonts w:cstheme="minorHAnsi"/>
                <w:sz w:val="24"/>
                <w:szCs w:val="24"/>
                <w:lang w:val="lv-LV"/>
              </w:rPr>
              <w:t xml:space="preserve"> -</w:t>
            </w:r>
            <w:r w:rsidRPr="00A50B04">
              <w:rPr>
                <w:rFonts w:cstheme="minorHAnsi"/>
                <w:sz w:val="24"/>
                <w:szCs w:val="24"/>
                <w:lang w:val="lv-LV"/>
              </w:rPr>
              <w:t xml:space="preserve"> kā atgriezenisko saiti</w:t>
            </w:r>
          </w:p>
          <w:p w14:paraId="14094E2A" w14:textId="1670A1AD" w:rsidR="00A50B04" w:rsidRPr="00A50B04" w:rsidRDefault="00A50B04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4B2650D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Spēja identificēt dažādus atgriezeniskās saites rīkus</w:t>
            </w:r>
          </w:p>
          <w:p w14:paraId="7FD403C6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Izpratne par atgriezeniskās saites nozīmi un kā to var izmantot konkrēti darba vietā</w:t>
            </w:r>
          </w:p>
          <w:p w14:paraId="0E0F28D4" w14:textId="31D514C6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Prasme vadīt vismaz 1-2 atgriezeniskās saites rīkus</w:t>
            </w:r>
          </w:p>
        </w:tc>
      </w:tr>
      <w:tr w:rsidR="00DA59FD" w:rsidRPr="00A50B04" w14:paraId="73D2A81A" w14:textId="77777777" w:rsidTr="00A50B04">
        <w:tc>
          <w:tcPr>
            <w:tcW w:w="2127" w:type="dxa"/>
          </w:tcPr>
          <w:p w14:paraId="24B12887" w14:textId="02BFB885" w:rsidR="00DA59FD" w:rsidRPr="00A50B04" w:rsidRDefault="00A50B04" w:rsidP="00BF4D60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sz w:val="24"/>
                <w:szCs w:val="24"/>
                <w:lang w:val="lv-LV"/>
              </w:rPr>
            </w:pP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Mērķtiecīgas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klausīšanās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jautājumu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uzdošanas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tehnikas</w:t>
            </w:r>
            <w:proofErr w:type="spellEnd"/>
          </w:p>
        </w:tc>
        <w:tc>
          <w:tcPr>
            <w:tcW w:w="4961" w:type="dxa"/>
          </w:tcPr>
          <w:p w14:paraId="78BE1216" w14:textId="4622A435" w:rsidR="00DA59FD" w:rsidRPr="00A50B04" w:rsidRDefault="00D0225C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Klausīšanās prasmju attīstības nozīme</w:t>
            </w:r>
            <w:r w:rsidR="00804742" w:rsidRPr="00A50B04">
              <w:rPr>
                <w:rFonts w:cstheme="minorHAnsi"/>
                <w:sz w:val="24"/>
                <w:szCs w:val="24"/>
                <w:lang w:val="lv-LV"/>
              </w:rPr>
              <w:t xml:space="preserve"> un ietekme darba vietā</w:t>
            </w:r>
            <w:r w:rsidRPr="00A50B04">
              <w:rPr>
                <w:rFonts w:cstheme="minorHAnsi"/>
                <w:sz w:val="24"/>
                <w:szCs w:val="24"/>
                <w:lang w:val="lv-LV"/>
              </w:rPr>
              <w:t>. Klausīšanās līmeņi – biogrāfiskais, dziļais, holistiskais.</w:t>
            </w:r>
          </w:p>
          <w:p w14:paraId="0CA4731C" w14:textId="7DBCF86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Jautājumu veidi un to izmantošana</w:t>
            </w:r>
            <w:r w:rsidR="00804742" w:rsidRPr="00A50B04">
              <w:rPr>
                <w:rFonts w:cstheme="minorHAnsi"/>
                <w:sz w:val="24"/>
                <w:szCs w:val="24"/>
                <w:lang w:val="lv-LV"/>
              </w:rPr>
              <w:t xml:space="preserve"> – atvērtie, slēgtie, spēcīgie jautājumi u.c.</w:t>
            </w:r>
          </w:p>
          <w:p w14:paraId="72DC5152" w14:textId="77777777" w:rsid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 xml:space="preserve">GROW un atgriezeniskās saites tehnikas + </w:t>
            </w:r>
            <w:r w:rsidRPr="00A50B04">
              <w:rPr>
                <w:rFonts w:cstheme="minorHAnsi"/>
                <w:sz w:val="24"/>
                <w:szCs w:val="24"/>
                <w:lang w:val="lv-LV"/>
              </w:rPr>
              <w:lastRenderedPageBreak/>
              <w:t>jautājumi+ klausīšanās</w:t>
            </w:r>
            <w:r w:rsidR="00804742" w:rsidRPr="00A50B04">
              <w:rPr>
                <w:rFonts w:cstheme="minorHAnsi"/>
                <w:sz w:val="24"/>
                <w:szCs w:val="24"/>
                <w:lang w:val="lv-LV"/>
              </w:rPr>
              <w:t xml:space="preserve"> – iepriekšējo tēmu </w:t>
            </w:r>
          </w:p>
          <w:p w14:paraId="7643CB28" w14:textId="77777777" w:rsidR="00DA59FD" w:rsidRDefault="002B66D6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integrācija un prasmju nostiprināšana, izmantojot jautājumu tehnikas un klausīšanās uzdevumus</w:t>
            </w:r>
          </w:p>
          <w:p w14:paraId="3B6C89B3" w14:textId="09289E0B" w:rsidR="00A50B04" w:rsidRPr="00A50B04" w:rsidRDefault="00A50B04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1E1E18E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lastRenderedPageBreak/>
              <w:t>Spēja atpazīt dažādos klausīšanās līmeņus</w:t>
            </w:r>
          </w:p>
          <w:p w14:paraId="5E22B04F" w14:textId="1ADA33F4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Spēja izveidot atvērtā tipa jautājumus GROW modelim</w:t>
            </w:r>
          </w:p>
        </w:tc>
      </w:tr>
      <w:tr w:rsidR="00DA59FD" w:rsidRPr="00A50B04" w14:paraId="6EF70C67" w14:textId="77777777" w:rsidTr="00A50B04">
        <w:tc>
          <w:tcPr>
            <w:tcW w:w="2127" w:type="dxa"/>
          </w:tcPr>
          <w:p w14:paraId="7387F2BD" w14:textId="1E4C3944" w:rsidR="00DA59FD" w:rsidRPr="00A50B04" w:rsidRDefault="00A50B04" w:rsidP="00BF4D60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sz w:val="24"/>
                <w:szCs w:val="24"/>
                <w:lang w:val="lv-LV"/>
              </w:rPr>
            </w:pP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Koučinga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rīki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komandas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motivācijai</w:t>
            </w:r>
            <w:proofErr w:type="spellEnd"/>
          </w:p>
        </w:tc>
        <w:tc>
          <w:tcPr>
            <w:tcW w:w="4961" w:type="dxa"/>
          </w:tcPr>
          <w:p w14:paraId="312731EC" w14:textId="7E41CCCF" w:rsidR="002B66D6" w:rsidRPr="00A50B04" w:rsidRDefault="002B66D6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 xml:space="preserve">Komandas attīstības </w:t>
            </w:r>
            <w:r w:rsidR="00281A13" w:rsidRPr="00A50B04">
              <w:rPr>
                <w:rFonts w:cstheme="minorHAnsi"/>
                <w:sz w:val="24"/>
                <w:szCs w:val="24"/>
                <w:lang w:val="lv-LV"/>
              </w:rPr>
              <w:t>fāzes un grupas dinamika. Kā izmantot komandas attīstības fāzi darba uzlabošanai un vadītāja prasmju attīstīšanai.</w:t>
            </w:r>
          </w:p>
          <w:p w14:paraId="13BB8BBA" w14:textId="33F3F5BD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GROW izmantošana komandas darbā</w:t>
            </w:r>
          </w:p>
          <w:p w14:paraId="4A9FB040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Motivācijas veidošana, izmantojot jautājumus un dziļo klausīšanos</w:t>
            </w:r>
          </w:p>
          <w:p w14:paraId="41784242" w14:textId="005C15AE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Atgriezeniskā saite kā motivācijas rīks</w:t>
            </w:r>
            <w:r w:rsidR="00281A13" w:rsidRPr="00A50B04">
              <w:rPr>
                <w:rFonts w:cstheme="minorHAnsi"/>
                <w:sz w:val="24"/>
                <w:szCs w:val="24"/>
                <w:lang w:val="lv-LV"/>
              </w:rPr>
              <w:t xml:space="preserve"> darbā ar komandu</w:t>
            </w:r>
          </w:p>
        </w:tc>
        <w:tc>
          <w:tcPr>
            <w:tcW w:w="2977" w:type="dxa"/>
          </w:tcPr>
          <w:p w14:paraId="006264D8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Spēja identificēt un atpazīt grupu dinamikas fāzes savā komandā un arī novērot citās komandās.</w:t>
            </w:r>
          </w:p>
          <w:p w14:paraId="21C280C0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Prasme uzdot atvērtā tipa jautājumus kā motivācijas rīkus</w:t>
            </w:r>
          </w:p>
          <w:p w14:paraId="1CD879D6" w14:textId="77777777" w:rsidR="00DA59FD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Pielietot atgriezenisko saiti kā motivācijas rīku</w:t>
            </w:r>
          </w:p>
          <w:p w14:paraId="3FDF2764" w14:textId="6C8A8EFA" w:rsidR="005759DC" w:rsidRPr="00A50B04" w:rsidRDefault="005759DC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  <w:tr w:rsidR="00DA59FD" w:rsidRPr="00A50B04" w14:paraId="1F08D1C8" w14:textId="77777777" w:rsidTr="00A50B04">
        <w:tc>
          <w:tcPr>
            <w:tcW w:w="2127" w:type="dxa"/>
          </w:tcPr>
          <w:p w14:paraId="16A3CCE6" w14:textId="1F21F3A5" w:rsidR="00DA59FD" w:rsidRPr="00A50B04" w:rsidRDefault="00A50B04" w:rsidP="00BF4D60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sz w:val="24"/>
                <w:szCs w:val="24"/>
                <w:lang w:val="lv-LV"/>
              </w:rPr>
            </w:pP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Prioritāšu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noteikšana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sistēmiska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pieeja</w:t>
            </w:r>
            <w:proofErr w:type="spellEnd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B04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attīstībai</w:t>
            </w:r>
            <w:proofErr w:type="spellEnd"/>
          </w:p>
        </w:tc>
        <w:tc>
          <w:tcPr>
            <w:tcW w:w="4961" w:type="dxa"/>
          </w:tcPr>
          <w:p w14:paraId="64B9926A" w14:textId="5FCEB1CB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Prioritāšu noteikšanas tehnikas (kā saprast, kas ir svarīgākais)</w:t>
            </w:r>
            <w:r w:rsidR="00281A13" w:rsidRPr="00A50B04">
              <w:rPr>
                <w:rFonts w:cstheme="minorHAnsi"/>
                <w:sz w:val="24"/>
                <w:szCs w:val="24"/>
                <w:lang w:val="lv-LV"/>
              </w:rPr>
              <w:t xml:space="preserve">. </w:t>
            </w:r>
            <w:r w:rsidR="00C72DFA" w:rsidRPr="00A50B04">
              <w:rPr>
                <w:rFonts w:cstheme="minorHAnsi"/>
                <w:sz w:val="24"/>
                <w:szCs w:val="24"/>
                <w:lang w:val="lv-LV"/>
              </w:rPr>
              <w:t xml:space="preserve">Darbu saraksta veidošana atbilstoši darba specifikai un komandas vajadzībām. </w:t>
            </w:r>
            <w:r w:rsidR="00D3711E" w:rsidRPr="00A50B04">
              <w:rPr>
                <w:rFonts w:cstheme="minorHAnsi"/>
                <w:sz w:val="24"/>
                <w:szCs w:val="24"/>
                <w:lang w:val="lv-LV"/>
              </w:rPr>
              <w:t>Kā uzdot sev jautājumus un izvirzīt pareizās prioritātes darba dienas laikā?</w:t>
            </w:r>
          </w:p>
          <w:p w14:paraId="24F8423D" w14:textId="691426BB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 xml:space="preserve">Situācijas analīzes tehnikas </w:t>
            </w:r>
            <w:r w:rsidR="00D3711E" w:rsidRPr="00A50B04">
              <w:rPr>
                <w:rFonts w:cstheme="minorHAnsi"/>
                <w:sz w:val="24"/>
                <w:szCs w:val="24"/>
                <w:lang w:val="lv-LV"/>
              </w:rPr>
              <w:t xml:space="preserve"> - ko nozīmē analizēt situāciju un kādas ir koučinga tehnikas</w:t>
            </w:r>
            <w:r w:rsidR="00F63AD6" w:rsidRPr="00A50B04">
              <w:rPr>
                <w:rFonts w:cstheme="minorHAnsi"/>
                <w:sz w:val="24"/>
                <w:szCs w:val="24"/>
                <w:lang w:val="lv-LV"/>
              </w:rPr>
              <w:t>.</w:t>
            </w:r>
          </w:p>
        </w:tc>
        <w:tc>
          <w:tcPr>
            <w:tcW w:w="2977" w:type="dxa"/>
          </w:tcPr>
          <w:p w14:paraId="151106F5" w14:textId="77777777" w:rsidR="00DA59FD" w:rsidRPr="00A50B04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Apkopojums un sevis novērtējums par koučinga instrumentu izmantošanu</w:t>
            </w:r>
          </w:p>
          <w:p w14:paraId="37C6D1E5" w14:textId="77777777" w:rsidR="00DA59FD" w:rsidRDefault="00DA59FD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  <w:r w:rsidRPr="00A50B04">
              <w:rPr>
                <w:rFonts w:cstheme="minorHAnsi"/>
                <w:sz w:val="24"/>
                <w:szCs w:val="24"/>
                <w:lang w:val="lv-LV"/>
              </w:rPr>
              <w:t>Turpmākā attīstības plāna sagatavošana – kā izmantos vairāk koučinga instrumentus</w:t>
            </w:r>
          </w:p>
          <w:p w14:paraId="3E92C127" w14:textId="3B9D45A0" w:rsidR="005759DC" w:rsidRPr="00A50B04" w:rsidRDefault="005759DC" w:rsidP="00BF4D60">
            <w:pPr>
              <w:rPr>
                <w:rFonts w:cstheme="minorHAnsi"/>
                <w:sz w:val="24"/>
                <w:szCs w:val="24"/>
                <w:lang w:val="lv-LV"/>
              </w:rPr>
            </w:pPr>
          </w:p>
        </w:tc>
      </w:tr>
    </w:tbl>
    <w:p w14:paraId="5E6D8399" w14:textId="115463D3" w:rsidR="000552E9" w:rsidRPr="00A50B04" w:rsidRDefault="000552E9" w:rsidP="00BF4D60">
      <w:pPr>
        <w:spacing w:after="0" w:line="240" w:lineRule="auto"/>
        <w:jc w:val="both"/>
        <w:rPr>
          <w:rFonts w:cstheme="minorHAnsi"/>
          <w:sz w:val="24"/>
          <w:szCs w:val="24"/>
          <w:lang w:val="lv-LV"/>
        </w:rPr>
      </w:pPr>
    </w:p>
    <w:p w14:paraId="542DA032" w14:textId="77777777" w:rsidR="0001314F" w:rsidRPr="00A50B04" w:rsidRDefault="0001314F" w:rsidP="00BF4D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A50B04">
        <w:rPr>
          <w:rFonts w:asciiTheme="minorHAnsi" w:hAnsiTheme="minorHAnsi" w:cstheme="minorHAnsi"/>
          <w:color w:val="000000"/>
        </w:rPr>
        <w:t>Mācības</w:t>
      </w:r>
      <w:proofErr w:type="spellEnd"/>
      <w:r w:rsidRPr="00A50B0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000000"/>
        </w:rPr>
        <w:t>tiek</w:t>
      </w:r>
      <w:proofErr w:type="spellEnd"/>
      <w:r w:rsidRPr="00A50B0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000000"/>
        </w:rPr>
        <w:t>īstenotas</w:t>
      </w:r>
      <w:proofErr w:type="spellEnd"/>
      <w:r w:rsidRPr="00A50B04">
        <w:rPr>
          <w:rFonts w:asciiTheme="minorHAnsi" w:hAnsiTheme="minorHAnsi" w:cstheme="minorHAnsi"/>
          <w:color w:val="000000"/>
        </w:rPr>
        <w:t xml:space="preserve"> Erasmus+ </w:t>
      </w:r>
      <w:proofErr w:type="spellStart"/>
      <w:r w:rsidRPr="00A50B04">
        <w:rPr>
          <w:rFonts w:asciiTheme="minorHAnsi" w:hAnsiTheme="minorHAnsi" w:cstheme="minorHAnsi"/>
          <w:color w:val="000000"/>
        </w:rPr>
        <w:t>projekta</w:t>
      </w:r>
      <w:proofErr w:type="spellEnd"/>
      <w:r w:rsidRPr="00A50B04">
        <w:rPr>
          <w:rFonts w:asciiTheme="minorHAnsi" w:hAnsiTheme="minorHAnsi" w:cstheme="minorHAnsi"/>
          <w:color w:val="000000"/>
        </w:rPr>
        <w:t xml:space="preserve"> </w:t>
      </w:r>
      <w:r w:rsidRPr="00A50B04">
        <w:rPr>
          <w:rFonts w:asciiTheme="minorHAnsi" w:hAnsiTheme="minorHAnsi" w:cstheme="minorHAnsi"/>
          <w:color w:val="201F1E"/>
        </w:rPr>
        <w:t>“</w:t>
      </w:r>
      <w:proofErr w:type="spellStart"/>
      <w:r w:rsidRPr="00A50B04">
        <w:rPr>
          <w:rFonts w:asciiTheme="minorHAnsi" w:hAnsiTheme="minorHAnsi" w:cstheme="minorHAnsi"/>
          <w:color w:val="201F1E"/>
        </w:rPr>
        <w:t>Koučinga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instrumentu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pilnveidošana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un </w:t>
      </w:r>
      <w:proofErr w:type="spellStart"/>
      <w:r w:rsidRPr="00A50B04">
        <w:rPr>
          <w:rFonts w:asciiTheme="minorHAnsi" w:hAnsiTheme="minorHAnsi" w:cstheme="minorHAnsi"/>
          <w:color w:val="201F1E"/>
        </w:rPr>
        <w:t>ieviešana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publiskās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pārvaldes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darba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kvalitātes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uzlabošanai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” </w:t>
      </w:r>
      <w:r w:rsidRPr="00A50B04">
        <w:rPr>
          <w:rFonts w:asciiTheme="minorHAnsi" w:hAnsiTheme="minorHAnsi" w:cstheme="minorHAnsi"/>
          <w:i/>
          <w:iCs/>
          <w:color w:val="201F1E"/>
        </w:rPr>
        <w:t xml:space="preserve">(Coaching Techniques </w:t>
      </w:r>
      <w:proofErr w:type="gramStart"/>
      <w:r w:rsidRPr="00A50B04">
        <w:rPr>
          <w:rFonts w:asciiTheme="minorHAnsi" w:hAnsiTheme="minorHAnsi" w:cstheme="minorHAnsi"/>
          <w:i/>
          <w:iCs/>
          <w:color w:val="201F1E"/>
        </w:rPr>
        <w:t>For The Public Sector As A Tool To Improvement Of The</w:t>
      </w:r>
      <w:proofErr w:type="gramEnd"/>
      <w:r w:rsidRPr="00A50B04">
        <w:rPr>
          <w:rFonts w:asciiTheme="minorHAnsi" w:hAnsiTheme="minorHAnsi" w:cstheme="minorHAnsi"/>
          <w:i/>
          <w:iCs/>
          <w:color w:val="201F1E"/>
        </w:rPr>
        <w:t xml:space="preserve"> Public Services; </w:t>
      </w:r>
      <w:r w:rsidRPr="00A50B04">
        <w:rPr>
          <w:rFonts w:asciiTheme="minorHAnsi" w:hAnsiTheme="minorHAnsi" w:cstheme="minorHAnsi"/>
          <w:color w:val="201F1E"/>
        </w:rPr>
        <w:t>Nr. 2020-1-LV01-KA202-077571)</w:t>
      </w:r>
      <w:r w:rsidRPr="00A50B0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000000"/>
        </w:rPr>
        <w:t>ietvaros</w:t>
      </w:r>
      <w:proofErr w:type="spellEnd"/>
      <w:r w:rsidRPr="00A50B04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A50B04">
        <w:rPr>
          <w:rFonts w:asciiTheme="minorHAnsi" w:hAnsiTheme="minorHAnsi" w:cstheme="minorHAnsi"/>
          <w:color w:val="201F1E"/>
        </w:rPr>
        <w:t>Projektu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īsteno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Valsts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administrācijas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skola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sadarbībā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ar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Latvijas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mācību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centru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“</w:t>
      </w:r>
      <w:proofErr w:type="spellStart"/>
      <w:r w:rsidRPr="00A50B04">
        <w:rPr>
          <w:rFonts w:asciiTheme="minorHAnsi" w:hAnsiTheme="minorHAnsi" w:cstheme="minorHAnsi"/>
          <w:color w:val="201F1E"/>
        </w:rPr>
        <w:t>MetaCoach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”, </w:t>
      </w:r>
      <w:proofErr w:type="spellStart"/>
      <w:r w:rsidRPr="00A50B04">
        <w:rPr>
          <w:rFonts w:asciiTheme="minorHAnsi" w:hAnsiTheme="minorHAnsi" w:cstheme="minorHAnsi"/>
          <w:color w:val="201F1E"/>
        </w:rPr>
        <w:t>Polijas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publiskās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administrācijas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skolu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r w:rsidRPr="00A50B04">
        <w:rPr>
          <w:rFonts w:asciiTheme="minorHAnsi" w:hAnsiTheme="minorHAnsi" w:cstheme="minorHAnsi"/>
          <w:i/>
          <w:iCs/>
          <w:color w:val="201F1E"/>
        </w:rPr>
        <w:t>(</w:t>
      </w:r>
      <w:proofErr w:type="spellStart"/>
      <w:r w:rsidRPr="00A50B04">
        <w:rPr>
          <w:rFonts w:asciiTheme="minorHAnsi" w:hAnsiTheme="minorHAnsi" w:cstheme="minorHAnsi"/>
          <w:i/>
          <w:iCs/>
          <w:color w:val="201F1E"/>
        </w:rPr>
        <w:t>Krajowa</w:t>
      </w:r>
      <w:proofErr w:type="spellEnd"/>
      <w:r w:rsidRPr="00A50B04">
        <w:rPr>
          <w:rFonts w:asciiTheme="minorHAnsi" w:hAnsiTheme="minorHAnsi" w:cstheme="minorHAnsi"/>
          <w:i/>
          <w:iCs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i/>
          <w:iCs/>
          <w:color w:val="201F1E"/>
        </w:rPr>
        <w:t>Szkoła</w:t>
      </w:r>
      <w:proofErr w:type="spellEnd"/>
      <w:r w:rsidRPr="00A50B04">
        <w:rPr>
          <w:rFonts w:asciiTheme="minorHAnsi" w:hAnsiTheme="minorHAnsi" w:cstheme="minorHAnsi"/>
          <w:i/>
          <w:iCs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i/>
          <w:iCs/>
          <w:color w:val="201F1E"/>
        </w:rPr>
        <w:t>Administracji</w:t>
      </w:r>
      <w:proofErr w:type="spellEnd"/>
      <w:r w:rsidRPr="00A50B04">
        <w:rPr>
          <w:rFonts w:asciiTheme="minorHAnsi" w:hAnsiTheme="minorHAnsi" w:cstheme="minorHAnsi"/>
          <w:i/>
          <w:iCs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i/>
          <w:iCs/>
          <w:color w:val="201F1E"/>
        </w:rPr>
        <w:t>Publicznej</w:t>
      </w:r>
      <w:proofErr w:type="spellEnd"/>
      <w:r w:rsidRPr="00A50B04">
        <w:rPr>
          <w:rFonts w:asciiTheme="minorHAnsi" w:hAnsiTheme="minorHAnsi" w:cstheme="minorHAnsi"/>
          <w:i/>
          <w:iCs/>
          <w:color w:val="201F1E"/>
        </w:rPr>
        <w:t xml:space="preserve"> - KSAP) </w:t>
      </w:r>
      <w:proofErr w:type="gramStart"/>
      <w:r w:rsidRPr="00A50B04">
        <w:rPr>
          <w:rFonts w:asciiTheme="minorHAnsi" w:hAnsiTheme="minorHAnsi" w:cstheme="minorHAnsi"/>
          <w:color w:val="201F1E"/>
        </w:rPr>
        <w:t>un</w:t>
      </w:r>
      <w:proofErr w:type="gram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Grieķijas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privāto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bezpeļņas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</w:t>
      </w:r>
      <w:proofErr w:type="spellStart"/>
      <w:r w:rsidRPr="00A50B04">
        <w:rPr>
          <w:rFonts w:asciiTheme="minorHAnsi" w:hAnsiTheme="minorHAnsi" w:cstheme="minorHAnsi"/>
          <w:color w:val="201F1E"/>
        </w:rPr>
        <w:t>organizāciju</w:t>
      </w:r>
      <w:proofErr w:type="spellEnd"/>
      <w:r w:rsidRPr="00A50B04">
        <w:rPr>
          <w:rFonts w:asciiTheme="minorHAnsi" w:hAnsiTheme="minorHAnsi" w:cstheme="minorHAnsi"/>
          <w:color w:val="201F1E"/>
        </w:rPr>
        <w:t xml:space="preserve"> “Society in Progress” (SIP).</w:t>
      </w:r>
    </w:p>
    <w:p w14:paraId="07480A71" w14:textId="03BBBC26" w:rsidR="00FB7D70" w:rsidRPr="00A50B04" w:rsidRDefault="00FB7D70" w:rsidP="00BF4D60">
      <w:pPr>
        <w:spacing w:after="0" w:line="240" w:lineRule="auto"/>
        <w:jc w:val="both"/>
        <w:rPr>
          <w:rFonts w:cstheme="minorHAnsi"/>
        </w:rPr>
      </w:pPr>
    </w:p>
    <w:sectPr w:rsidR="00FB7D70" w:rsidRPr="00A50B04" w:rsidSect="00BF4D60"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C5A1A" w14:textId="77777777" w:rsidR="00500A78" w:rsidRDefault="00500A78" w:rsidP="005759DC">
      <w:pPr>
        <w:spacing w:after="0" w:line="240" w:lineRule="auto"/>
      </w:pPr>
      <w:r>
        <w:separator/>
      </w:r>
    </w:p>
  </w:endnote>
  <w:endnote w:type="continuationSeparator" w:id="0">
    <w:p w14:paraId="2715273F" w14:textId="77777777" w:rsidR="00500A78" w:rsidRDefault="00500A78" w:rsidP="0057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234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2FA7A" w14:textId="29102889" w:rsidR="005759DC" w:rsidRDefault="005759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BF5BE3" w14:textId="77777777" w:rsidR="005759DC" w:rsidRDefault="00575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A440E" w14:textId="77777777" w:rsidR="00500A78" w:rsidRDefault="00500A78" w:rsidP="005759DC">
      <w:pPr>
        <w:spacing w:after="0" w:line="240" w:lineRule="auto"/>
      </w:pPr>
      <w:r>
        <w:separator/>
      </w:r>
    </w:p>
  </w:footnote>
  <w:footnote w:type="continuationSeparator" w:id="0">
    <w:p w14:paraId="05E75719" w14:textId="77777777" w:rsidR="00500A78" w:rsidRDefault="00500A78" w:rsidP="0057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97761"/>
    <w:multiLevelType w:val="hybridMultilevel"/>
    <w:tmpl w:val="1E02A326"/>
    <w:lvl w:ilvl="0" w:tplc="FAF65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726EB"/>
    <w:multiLevelType w:val="hybridMultilevel"/>
    <w:tmpl w:val="C5D4F0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4F"/>
    <w:rsid w:val="0001314F"/>
    <w:rsid w:val="000552E9"/>
    <w:rsid w:val="000E6048"/>
    <w:rsid w:val="0011524C"/>
    <w:rsid w:val="00183B33"/>
    <w:rsid w:val="001902C2"/>
    <w:rsid w:val="00210A62"/>
    <w:rsid w:val="00275D95"/>
    <w:rsid w:val="00281A13"/>
    <w:rsid w:val="002B66D6"/>
    <w:rsid w:val="00425DC3"/>
    <w:rsid w:val="00437A82"/>
    <w:rsid w:val="00467200"/>
    <w:rsid w:val="004A7F09"/>
    <w:rsid w:val="00500A78"/>
    <w:rsid w:val="00520796"/>
    <w:rsid w:val="00524E15"/>
    <w:rsid w:val="005759DC"/>
    <w:rsid w:val="00597A6C"/>
    <w:rsid w:val="0063253E"/>
    <w:rsid w:val="006350CE"/>
    <w:rsid w:val="0066737B"/>
    <w:rsid w:val="006766B6"/>
    <w:rsid w:val="006B499E"/>
    <w:rsid w:val="006C62DA"/>
    <w:rsid w:val="00740347"/>
    <w:rsid w:val="00770317"/>
    <w:rsid w:val="007A7D27"/>
    <w:rsid w:val="007B7705"/>
    <w:rsid w:val="00800A01"/>
    <w:rsid w:val="0080204F"/>
    <w:rsid w:val="00804742"/>
    <w:rsid w:val="00840F79"/>
    <w:rsid w:val="0087748B"/>
    <w:rsid w:val="008A7D52"/>
    <w:rsid w:val="008E6D2D"/>
    <w:rsid w:val="008E75C9"/>
    <w:rsid w:val="00997CAB"/>
    <w:rsid w:val="009E4DDC"/>
    <w:rsid w:val="00A507C8"/>
    <w:rsid w:val="00A50B04"/>
    <w:rsid w:val="00A73FE5"/>
    <w:rsid w:val="00A95A65"/>
    <w:rsid w:val="00AB6F49"/>
    <w:rsid w:val="00AF3403"/>
    <w:rsid w:val="00B1572E"/>
    <w:rsid w:val="00B7521C"/>
    <w:rsid w:val="00B961F6"/>
    <w:rsid w:val="00BA4199"/>
    <w:rsid w:val="00BE3C6C"/>
    <w:rsid w:val="00BF4D60"/>
    <w:rsid w:val="00C02B3E"/>
    <w:rsid w:val="00C25EC2"/>
    <w:rsid w:val="00C477D0"/>
    <w:rsid w:val="00C72DFA"/>
    <w:rsid w:val="00C9444C"/>
    <w:rsid w:val="00D0225C"/>
    <w:rsid w:val="00D22F56"/>
    <w:rsid w:val="00D368E3"/>
    <w:rsid w:val="00D3711E"/>
    <w:rsid w:val="00DA59FD"/>
    <w:rsid w:val="00DE3517"/>
    <w:rsid w:val="00EA6C89"/>
    <w:rsid w:val="00EF0FD9"/>
    <w:rsid w:val="00F2265D"/>
    <w:rsid w:val="00F44346"/>
    <w:rsid w:val="00F63AD6"/>
    <w:rsid w:val="00F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6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347"/>
    <w:pPr>
      <w:keepNext/>
      <w:keepLines/>
      <w:spacing w:before="240" w:after="0" w:line="256" w:lineRule="auto"/>
      <w:jc w:val="center"/>
      <w:outlineLvl w:val="0"/>
    </w:pPr>
    <w:rPr>
      <w:rFonts w:ascii="Times New Roman" w:eastAsiaTheme="majorEastAsia" w:hAnsi="Times New Roman" w:cstheme="majorBidi"/>
      <w:sz w:val="36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48"/>
    <w:pPr>
      <w:keepNext/>
      <w:keepLines/>
      <w:spacing w:before="360" w:after="120" w:line="276" w:lineRule="auto"/>
      <w:jc w:val="center"/>
      <w:outlineLvl w:val="1"/>
    </w:pPr>
    <w:rPr>
      <w:rFonts w:ascii="Times New Roman" w:eastAsia="Arial" w:hAnsi="Times New Roman" w:cs="Arial"/>
      <w:b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7A82"/>
    <w:pPr>
      <w:keepNext/>
      <w:keepLines/>
      <w:spacing w:before="40" w:after="0" w:line="256" w:lineRule="auto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E6048"/>
    <w:rPr>
      <w:rFonts w:ascii="Times New Roman" w:eastAsia="Arial" w:hAnsi="Times New Roman" w:cs="Arial"/>
      <w:b/>
      <w:sz w:val="32"/>
      <w:szCs w:val="32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740347"/>
    <w:rPr>
      <w:rFonts w:ascii="Times New Roman" w:eastAsiaTheme="majorEastAsia" w:hAnsi="Times New Roman" w:cstheme="majorBidi"/>
      <w:sz w:val="36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437A82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05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A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5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DC"/>
  </w:style>
  <w:style w:type="paragraph" w:styleId="Footer">
    <w:name w:val="footer"/>
    <w:basedOn w:val="Normal"/>
    <w:link w:val="FooterChar"/>
    <w:uiPriority w:val="99"/>
    <w:unhideWhenUsed/>
    <w:rsid w:val="00575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347"/>
    <w:pPr>
      <w:keepNext/>
      <w:keepLines/>
      <w:spacing w:before="240" w:after="0" w:line="256" w:lineRule="auto"/>
      <w:jc w:val="center"/>
      <w:outlineLvl w:val="0"/>
    </w:pPr>
    <w:rPr>
      <w:rFonts w:ascii="Times New Roman" w:eastAsiaTheme="majorEastAsia" w:hAnsi="Times New Roman" w:cstheme="majorBidi"/>
      <w:sz w:val="36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048"/>
    <w:pPr>
      <w:keepNext/>
      <w:keepLines/>
      <w:spacing w:before="360" w:after="120" w:line="276" w:lineRule="auto"/>
      <w:jc w:val="center"/>
      <w:outlineLvl w:val="1"/>
    </w:pPr>
    <w:rPr>
      <w:rFonts w:ascii="Times New Roman" w:eastAsia="Arial" w:hAnsi="Times New Roman" w:cs="Arial"/>
      <w:b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37A82"/>
    <w:pPr>
      <w:keepNext/>
      <w:keepLines/>
      <w:spacing w:before="40" w:after="0" w:line="256" w:lineRule="auto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E6048"/>
    <w:rPr>
      <w:rFonts w:ascii="Times New Roman" w:eastAsia="Arial" w:hAnsi="Times New Roman" w:cs="Arial"/>
      <w:b/>
      <w:sz w:val="32"/>
      <w:szCs w:val="32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740347"/>
    <w:rPr>
      <w:rFonts w:ascii="Times New Roman" w:eastAsiaTheme="majorEastAsia" w:hAnsi="Times New Roman" w:cstheme="majorBidi"/>
      <w:sz w:val="36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437A82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05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A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5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DC"/>
  </w:style>
  <w:style w:type="paragraph" w:styleId="Footer">
    <w:name w:val="footer"/>
    <w:basedOn w:val="Normal"/>
    <w:link w:val="FooterChar"/>
    <w:uiPriority w:val="99"/>
    <w:unhideWhenUsed/>
    <w:rsid w:val="00575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golubeva</dc:creator>
  <cp:lastModifiedBy>Ilze Saleniece</cp:lastModifiedBy>
  <cp:revision>6</cp:revision>
  <dcterms:created xsi:type="dcterms:W3CDTF">2021-03-30T11:09:00Z</dcterms:created>
  <dcterms:modified xsi:type="dcterms:W3CDTF">2021-03-30T11:28:00Z</dcterms:modified>
</cp:coreProperties>
</file>