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6CCA" w14:textId="77777777" w:rsidR="00293680" w:rsidRPr="001C0444" w:rsidRDefault="00293680" w:rsidP="00293680">
      <w:pPr>
        <w:jc w:val="center"/>
      </w:pPr>
      <w:r w:rsidRPr="001C0444">
        <w:rPr>
          <w:noProof/>
        </w:rPr>
        <w:drawing>
          <wp:inline distT="0" distB="0" distL="0" distR="0" wp14:anchorId="7D0B5A9A" wp14:editId="379FCCBE">
            <wp:extent cx="1112520" cy="1112520"/>
            <wp:effectExtent l="0" t="0" r="0" b="0"/>
            <wp:docPr id="363695753" name="Picture 4"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95753" name="Picture 4" descr="A blue flag with yellow star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r w:rsidRPr="001C0444">
        <w:rPr>
          <w:noProof/>
        </w:rPr>
        <w:drawing>
          <wp:inline distT="0" distB="0" distL="0" distR="0" wp14:anchorId="087E662D" wp14:editId="742274F5">
            <wp:extent cx="1226820" cy="1051560"/>
            <wp:effectExtent l="0" t="0" r="0" b="0"/>
            <wp:docPr id="1241854186" name="Picture 3" descr="A red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54186" name="Picture 3" descr="A red numbers and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6820" cy="1051560"/>
                    </a:xfrm>
                    <a:prstGeom prst="rect">
                      <a:avLst/>
                    </a:prstGeom>
                    <a:noFill/>
                    <a:ln>
                      <a:noFill/>
                    </a:ln>
                  </pic:spPr>
                </pic:pic>
              </a:graphicData>
            </a:graphic>
          </wp:inline>
        </w:drawing>
      </w:r>
    </w:p>
    <w:p w14:paraId="1AEE47AB" w14:textId="77777777" w:rsidR="00293680" w:rsidRPr="001C0444" w:rsidRDefault="00293680" w:rsidP="00293680">
      <w:pPr>
        <w:jc w:val="center"/>
        <w:rPr>
          <w:rFonts w:asciiTheme="majorHAnsi" w:hAnsiTheme="majorHAnsi"/>
          <w:sz w:val="22"/>
          <w:szCs w:val="22"/>
        </w:rPr>
      </w:pPr>
      <w:r w:rsidRPr="001C0444">
        <w:rPr>
          <w:rFonts w:asciiTheme="majorHAnsi" w:hAnsiTheme="majorHAnsi"/>
          <w:sz w:val="22"/>
          <w:szCs w:val="22"/>
        </w:rPr>
        <w:t>Eiropas Savienības Atveseļošanas fonda  projekta Nr.</w:t>
      </w:r>
      <w:r w:rsidRPr="001C0444">
        <w:rPr>
          <w:rFonts w:ascii="Arial" w:hAnsi="Arial" w:cs="Arial"/>
          <w:sz w:val="22"/>
          <w:szCs w:val="22"/>
        </w:rPr>
        <w:t> </w:t>
      </w:r>
      <w:r w:rsidRPr="001C0444">
        <w:rPr>
          <w:rFonts w:asciiTheme="majorHAnsi" w:hAnsiTheme="majorHAnsi"/>
          <w:sz w:val="22"/>
          <w:szCs w:val="22"/>
        </w:rPr>
        <w:t xml:space="preserve">6.3.1.2.i.0/1/22/I/VK/001 </w:t>
      </w:r>
      <w:r w:rsidRPr="001C0444">
        <w:rPr>
          <w:rFonts w:asciiTheme="majorHAnsi" w:hAnsiTheme="majorHAnsi" w:cs="Aptos"/>
          <w:sz w:val="22"/>
          <w:szCs w:val="22"/>
        </w:rPr>
        <w:t>“</w:t>
      </w:r>
      <w:r w:rsidRPr="001C0444">
        <w:rPr>
          <w:rFonts w:asciiTheme="majorHAnsi" w:hAnsiTheme="majorHAnsi"/>
          <w:sz w:val="22"/>
          <w:szCs w:val="22"/>
        </w:rPr>
        <w:t>Publiskas p</w:t>
      </w:r>
      <w:r w:rsidRPr="001C0444">
        <w:rPr>
          <w:rFonts w:asciiTheme="majorHAnsi" w:hAnsiTheme="majorHAnsi" w:cs="Aptos"/>
          <w:sz w:val="22"/>
          <w:szCs w:val="22"/>
        </w:rPr>
        <w:t>ā</w:t>
      </w:r>
      <w:r w:rsidRPr="001C0444">
        <w:rPr>
          <w:rFonts w:asciiTheme="majorHAnsi" w:hAnsiTheme="majorHAnsi"/>
          <w:sz w:val="22"/>
          <w:szCs w:val="22"/>
        </w:rPr>
        <w:t>rvaldes profesionaliz</w:t>
      </w:r>
      <w:r w:rsidRPr="001C0444">
        <w:rPr>
          <w:rFonts w:asciiTheme="majorHAnsi" w:hAnsiTheme="majorHAnsi" w:cs="Aptos"/>
          <w:sz w:val="22"/>
          <w:szCs w:val="22"/>
        </w:rPr>
        <w:t>ā</w:t>
      </w:r>
      <w:r w:rsidRPr="001C0444">
        <w:rPr>
          <w:rFonts w:asciiTheme="majorHAnsi" w:hAnsiTheme="majorHAnsi"/>
          <w:sz w:val="22"/>
          <w:szCs w:val="22"/>
        </w:rPr>
        <w:t>cija un administrat</w:t>
      </w:r>
      <w:r w:rsidRPr="001C0444">
        <w:rPr>
          <w:rFonts w:asciiTheme="majorHAnsi" w:hAnsiTheme="majorHAnsi" w:cs="Aptos"/>
          <w:sz w:val="22"/>
          <w:szCs w:val="22"/>
        </w:rPr>
        <w:t>ī</w:t>
      </w:r>
      <w:r w:rsidRPr="001C0444">
        <w:rPr>
          <w:rFonts w:asciiTheme="majorHAnsi" w:hAnsiTheme="majorHAnsi"/>
          <w:sz w:val="22"/>
          <w:szCs w:val="22"/>
        </w:rPr>
        <w:t>vas kapacit</w:t>
      </w:r>
      <w:r w:rsidRPr="001C0444">
        <w:rPr>
          <w:rFonts w:asciiTheme="majorHAnsi" w:hAnsiTheme="majorHAnsi" w:cs="Aptos"/>
          <w:sz w:val="22"/>
          <w:szCs w:val="22"/>
        </w:rPr>
        <w:t>ā</w:t>
      </w:r>
      <w:r w:rsidRPr="001C0444">
        <w:rPr>
          <w:rFonts w:asciiTheme="majorHAnsi" w:hAnsiTheme="majorHAnsi"/>
          <w:sz w:val="22"/>
          <w:szCs w:val="22"/>
        </w:rPr>
        <w:t>tes stiprin</w:t>
      </w:r>
      <w:r w:rsidRPr="001C0444">
        <w:rPr>
          <w:rFonts w:asciiTheme="majorHAnsi" w:hAnsiTheme="majorHAnsi" w:cs="Aptos"/>
          <w:sz w:val="22"/>
          <w:szCs w:val="22"/>
        </w:rPr>
        <w:t>āš</w:t>
      </w:r>
      <w:r w:rsidRPr="001C0444">
        <w:rPr>
          <w:rFonts w:asciiTheme="majorHAnsi" w:hAnsiTheme="majorHAnsi"/>
          <w:sz w:val="22"/>
          <w:szCs w:val="22"/>
        </w:rPr>
        <w:t>ana</w:t>
      </w:r>
      <w:r w:rsidRPr="001C0444">
        <w:rPr>
          <w:rFonts w:asciiTheme="majorHAnsi" w:hAnsiTheme="majorHAnsi" w:cs="Aptos"/>
          <w:sz w:val="22"/>
          <w:szCs w:val="22"/>
        </w:rPr>
        <w:t>”</w:t>
      </w:r>
    </w:p>
    <w:p w14:paraId="42402D22" w14:textId="77777777" w:rsidR="00293680" w:rsidRPr="00A65074" w:rsidRDefault="00293680" w:rsidP="00293680">
      <w:pPr>
        <w:jc w:val="center"/>
        <w:rPr>
          <w:rFonts w:asciiTheme="majorHAnsi" w:hAnsiTheme="majorHAnsi"/>
          <w:b/>
          <w:bCs/>
          <w:sz w:val="22"/>
          <w:szCs w:val="22"/>
        </w:rPr>
      </w:pPr>
      <w:r w:rsidRPr="001C0444">
        <w:rPr>
          <w:rFonts w:asciiTheme="majorHAnsi" w:hAnsiTheme="majorHAnsi"/>
          <w:b/>
          <w:bCs/>
          <w:sz w:val="22"/>
          <w:szCs w:val="22"/>
        </w:rPr>
        <w:t>mācību grafiks</w:t>
      </w:r>
      <w:r w:rsidRPr="00A65074">
        <w:rPr>
          <w:rFonts w:asciiTheme="majorHAnsi" w:hAnsiTheme="majorHAnsi"/>
          <w:b/>
          <w:bCs/>
          <w:sz w:val="22"/>
          <w:szCs w:val="22"/>
        </w:rPr>
        <w:t xml:space="preserve"> 2025. gadam</w:t>
      </w:r>
    </w:p>
    <w:p w14:paraId="33104C2A" w14:textId="77777777" w:rsidR="00293680" w:rsidRPr="00A65074" w:rsidRDefault="00293680" w:rsidP="00293680">
      <w:pPr>
        <w:jc w:val="center"/>
        <w:rPr>
          <w:rFonts w:asciiTheme="majorHAnsi" w:hAnsiTheme="majorHAnsi"/>
          <w:sz w:val="22"/>
          <w:szCs w:val="22"/>
        </w:rPr>
      </w:pPr>
      <w:r w:rsidRPr="00A65074">
        <w:rPr>
          <w:rFonts w:asciiTheme="majorHAnsi" w:hAnsiTheme="majorHAnsi"/>
          <w:b/>
          <w:bCs/>
          <w:sz w:val="22"/>
          <w:szCs w:val="22"/>
        </w:rPr>
        <w:t>Iepirkuma veicēju mācību programmā</w:t>
      </w:r>
      <w:r w:rsidRPr="00A65074">
        <w:rPr>
          <w:rFonts w:asciiTheme="majorHAnsi" w:hAnsiTheme="majorHAnsi"/>
          <w:sz w:val="22"/>
          <w:szCs w:val="22"/>
        </w:rPr>
        <w:t xml:space="preserve"> (padziļinātais līmenis) </w:t>
      </w:r>
    </w:p>
    <w:tbl>
      <w:tblPr>
        <w:tblStyle w:val="TableGrid"/>
        <w:tblW w:w="9067" w:type="dxa"/>
        <w:tblLook w:val="04A0" w:firstRow="1" w:lastRow="0" w:firstColumn="1" w:lastColumn="0" w:noHBand="0" w:noVBand="1"/>
      </w:tblPr>
      <w:tblGrid>
        <w:gridCol w:w="983"/>
        <w:gridCol w:w="1597"/>
        <w:gridCol w:w="4928"/>
        <w:gridCol w:w="1559"/>
      </w:tblGrid>
      <w:tr w:rsidR="00293680" w:rsidRPr="00A65074" w14:paraId="5428F327" w14:textId="77777777" w:rsidTr="009F68F3">
        <w:tc>
          <w:tcPr>
            <w:tcW w:w="983" w:type="dxa"/>
          </w:tcPr>
          <w:p w14:paraId="1346C6CB" w14:textId="77777777" w:rsidR="00293680" w:rsidRPr="00A65074" w:rsidRDefault="00293680" w:rsidP="009F68F3">
            <w:pPr>
              <w:jc w:val="center"/>
              <w:rPr>
                <w:rFonts w:asciiTheme="majorHAnsi" w:hAnsiTheme="majorHAnsi"/>
                <w:sz w:val="22"/>
                <w:szCs w:val="22"/>
              </w:rPr>
            </w:pPr>
            <w:r w:rsidRPr="00A65074">
              <w:rPr>
                <w:rFonts w:asciiTheme="majorHAnsi" w:hAnsiTheme="majorHAnsi"/>
                <w:sz w:val="22"/>
                <w:szCs w:val="22"/>
              </w:rPr>
              <w:t>Nr.p.k.</w:t>
            </w:r>
          </w:p>
        </w:tc>
        <w:tc>
          <w:tcPr>
            <w:tcW w:w="1597" w:type="dxa"/>
          </w:tcPr>
          <w:p w14:paraId="1D4523ED" w14:textId="77777777" w:rsidR="00293680" w:rsidRPr="00A65074" w:rsidRDefault="00293680" w:rsidP="009F68F3">
            <w:pPr>
              <w:jc w:val="center"/>
              <w:rPr>
                <w:rFonts w:asciiTheme="majorHAnsi" w:hAnsiTheme="majorHAnsi"/>
                <w:sz w:val="22"/>
                <w:szCs w:val="22"/>
              </w:rPr>
            </w:pPr>
            <w:r w:rsidRPr="00A65074">
              <w:rPr>
                <w:rFonts w:asciiTheme="majorHAnsi" w:hAnsiTheme="majorHAnsi"/>
                <w:sz w:val="22"/>
                <w:szCs w:val="22"/>
              </w:rPr>
              <w:t>Datums/laiks</w:t>
            </w:r>
          </w:p>
        </w:tc>
        <w:tc>
          <w:tcPr>
            <w:tcW w:w="4928" w:type="dxa"/>
          </w:tcPr>
          <w:p w14:paraId="00800E33" w14:textId="77777777" w:rsidR="00293680" w:rsidRPr="00A65074" w:rsidRDefault="00293680" w:rsidP="009F68F3">
            <w:pPr>
              <w:jc w:val="center"/>
              <w:rPr>
                <w:rFonts w:asciiTheme="majorHAnsi" w:hAnsiTheme="majorHAnsi"/>
                <w:sz w:val="22"/>
                <w:szCs w:val="22"/>
              </w:rPr>
            </w:pPr>
            <w:r w:rsidRPr="00A65074">
              <w:rPr>
                <w:rFonts w:asciiTheme="majorHAnsi" w:hAnsiTheme="majorHAnsi"/>
                <w:sz w:val="22"/>
                <w:szCs w:val="22"/>
              </w:rPr>
              <w:t>Tēma</w:t>
            </w:r>
          </w:p>
        </w:tc>
        <w:tc>
          <w:tcPr>
            <w:tcW w:w="1559" w:type="dxa"/>
          </w:tcPr>
          <w:p w14:paraId="4BAD5880" w14:textId="77777777" w:rsidR="00293680" w:rsidRPr="00A65074" w:rsidRDefault="00293680" w:rsidP="009F68F3">
            <w:pPr>
              <w:jc w:val="center"/>
              <w:rPr>
                <w:rFonts w:asciiTheme="majorHAnsi" w:hAnsiTheme="majorHAnsi"/>
                <w:sz w:val="22"/>
                <w:szCs w:val="22"/>
              </w:rPr>
            </w:pPr>
            <w:r w:rsidRPr="00A65074">
              <w:rPr>
                <w:rFonts w:asciiTheme="majorHAnsi" w:hAnsiTheme="majorHAnsi"/>
                <w:sz w:val="22"/>
                <w:szCs w:val="22"/>
              </w:rPr>
              <w:t>Pasniedzējs</w:t>
            </w:r>
          </w:p>
        </w:tc>
      </w:tr>
      <w:tr w:rsidR="00293680" w:rsidRPr="00A65074" w14:paraId="5C27B93F" w14:textId="77777777" w:rsidTr="009F68F3">
        <w:tc>
          <w:tcPr>
            <w:tcW w:w="983" w:type="dxa"/>
          </w:tcPr>
          <w:p w14:paraId="4204FD81" w14:textId="77777777" w:rsidR="00293680" w:rsidRPr="00A65074" w:rsidRDefault="00293680" w:rsidP="009F68F3">
            <w:pPr>
              <w:jc w:val="both"/>
              <w:rPr>
                <w:rFonts w:asciiTheme="majorHAnsi" w:hAnsiTheme="majorHAnsi"/>
                <w:sz w:val="22"/>
                <w:szCs w:val="22"/>
              </w:rPr>
            </w:pPr>
            <w:r w:rsidRPr="00A65074">
              <w:rPr>
                <w:rFonts w:asciiTheme="majorHAnsi" w:hAnsiTheme="majorHAnsi"/>
                <w:sz w:val="22"/>
                <w:szCs w:val="22"/>
              </w:rPr>
              <w:t>1</w:t>
            </w:r>
          </w:p>
        </w:tc>
        <w:tc>
          <w:tcPr>
            <w:tcW w:w="1597" w:type="dxa"/>
          </w:tcPr>
          <w:p w14:paraId="547E0BA3"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13.02.2025. 10:00 –  12:15</w:t>
            </w:r>
          </w:p>
        </w:tc>
        <w:tc>
          <w:tcPr>
            <w:tcW w:w="4928" w:type="dxa"/>
          </w:tcPr>
          <w:p w14:paraId="02915AE3" w14:textId="77777777" w:rsidR="00293680" w:rsidRPr="00A65074" w:rsidRDefault="00293680" w:rsidP="009F68F3">
            <w:pPr>
              <w:jc w:val="both"/>
              <w:rPr>
                <w:rFonts w:asciiTheme="majorHAnsi" w:hAnsiTheme="majorHAnsi" w:cs="Times New Roman"/>
                <w:sz w:val="22"/>
                <w:szCs w:val="22"/>
              </w:rPr>
            </w:pPr>
            <w:r w:rsidRPr="00A65074">
              <w:rPr>
                <w:rFonts w:asciiTheme="majorHAnsi" w:hAnsiTheme="majorHAnsi" w:cs="Times New Roman"/>
                <w:sz w:val="22"/>
                <w:szCs w:val="22"/>
              </w:rPr>
              <w:t>Tiešsaistes lekcija</w:t>
            </w:r>
          </w:p>
          <w:p w14:paraId="1D5874CF"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 xml:space="preserve"> “Biežāk pieļautās kļūdas ES fondu projektu iepirkumos”</w:t>
            </w:r>
          </w:p>
        </w:tc>
        <w:tc>
          <w:tcPr>
            <w:tcW w:w="1559" w:type="dxa"/>
          </w:tcPr>
          <w:p w14:paraId="6585E179"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Evija Rubene</w:t>
            </w:r>
          </w:p>
        </w:tc>
      </w:tr>
      <w:tr w:rsidR="00293680" w:rsidRPr="00A65074" w14:paraId="57E50F30" w14:textId="77777777" w:rsidTr="009F68F3">
        <w:tc>
          <w:tcPr>
            <w:tcW w:w="983" w:type="dxa"/>
          </w:tcPr>
          <w:p w14:paraId="7AFA7B01" w14:textId="77777777" w:rsidR="00293680" w:rsidRPr="00A65074" w:rsidRDefault="00293680" w:rsidP="009F68F3">
            <w:pPr>
              <w:jc w:val="both"/>
              <w:rPr>
                <w:rFonts w:asciiTheme="majorHAnsi" w:hAnsiTheme="majorHAnsi"/>
                <w:sz w:val="22"/>
                <w:szCs w:val="22"/>
              </w:rPr>
            </w:pPr>
            <w:r w:rsidRPr="00A65074">
              <w:rPr>
                <w:rFonts w:asciiTheme="majorHAnsi" w:hAnsiTheme="majorHAnsi"/>
                <w:sz w:val="22"/>
                <w:szCs w:val="22"/>
              </w:rPr>
              <w:t>2</w:t>
            </w:r>
          </w:p>
        </w:tc>
        <w:tc>
          <w:tcPr>
            <w:tcW w:w="1597" w:type="dxa"/>
          </w:tcPr>
          <w:p w14:paraId="764DBC63"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24.04.2025. 10:00 – 12:15</w:t>
            </w:r>
          </w:p>
        </w:tc>
        <w:tc>
          <w:tcPr>
            <w:tcW w:w="4928" w:type="dxa"/>
          </w:tcPr>
          <w:p w14:paraId="1F4118E1" w14:textId="77777777" w:rsidR="00293680" w:rsidRPr="00A65074" w:rsidRDefault="00293680" w:rsidP="009F68F3">
            <w:pPr>
              <w:jc w:val="both"/>
              <w:rPr>
                <w:rFonts w:asciiTheme="majorHAnsi" w:hAnsiTheme="majorHAnsi" w:cs="Times New Roman"/>
                <w:sz w:val="22"/>
                <w:szCs w:val="22"/>
              </w:rPr>
            </w:pPr>
            <w:r w:rsidRPr="00A65074">
              <w:rPr>
                <w:rFonts w:asciiTheme="majorHAnsi" w:hAnsiTheme="majorHAnsi" w:cs="Times New Roman"/>
                <w:sz w:val="22"/>
                <w:szCs w:val="22"/>
              </w:rPr>
              <w:t xml:space="preserve">Tiešsaistes lekcija </w:t>
            </w:r>
          </w:p>
          <w:p w14:paraId="1F642D68"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“Publisko iepirkumu likuma piemērošanas prakses aktualitātes  (u.c. aktualitātes)”</w:t>
            </w:r>
          </w:p>
        </w:tc>
        <w:tc>
          <w:tcPr>
            <w:tcW w:w="1559" w:type="dxa"/>
          </w:tcPr>
          <w:p w14:paraId="612EB510"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Monta Drebeiniece</w:t>
            </w:r>
          </w:p>
        </w:tc>
      </w:tr>
      <w:tr w:rsidR="00293680" w:rsidRPr="00A65074" w14:paraId="2F4DCF30" w14:textId="77777777" w:rsidTr="009F68F3">
        <w:tc>
          <w:tcPr>
            <w:tcW w:w="983" w:type="dxa"/>
          </w:tcPr>
          <w:p w14:paraId="09847F41" w14:textId="77777777" w:rsidR="00293680" w:rsidRPr="00A65074" w:rsidRDefault="00293680" w:rsidP="009F68F3">
            <w:pPr>
              <w:jc w:val="both"/>
              <w:rPr>
                <w:rFonts w:asciiTheme="majorHAnsi" w:hAnsiTheme="majorHAnsi"/>
                <w:sz w:val="22"/>
                <w:szCs w:val="22"/>
              </w:rPr>
            </w:pPr>
            <w:r w:rsidRPr="00A65074">
              <w:rPr>
                <w:rFonts w:asciiTheme="majorHAnsi" w:hAnsiTheme="majorHAnsi"/>
                <w:sz w:val="22"/>
                <w:szCs w:val="22"/>
              </w:rPr>
              <w:t>3</w:t>
            </w:r>
          </w:p>
        </w:tc>
        <w:tc>
          <w:tcPr>
            <w:tcW w:w="1597" w:type="dxa"/>
          </w:tcPr>
          <w:p w14:paraId="3B1299C9" w14:textId="77777777" w:rsidR="00293680" w:rsidRPr="00A65074" w:rsidRDefault="00293680" w:rsidP="009F68F3">
            <w:pPr>
              <w:pStyle w:val="NoSpacing"/>
              <w:rPr>
                <w:rFonts w:asciiTheme="majorHAnsi" w:hAnsiTheme="majorHAnsi" w:cs="Times New Roman"/>
              </w:rPr>
            </w:pPr>
            <w:r w:rsidRPr="00A65074">
              <w:rPr>
                <w:rFonts w:asciiTheme="majorHAnsi" w:hAnsiTheme="majorHAnsi" w:cs="Times New Roman"/>
              </w:rPr>
              <w:t>Maijs</w:t>
            </w:r>
          </w:p>
          <w:p w14:paraId="53A27E33"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10:00 – 12:15</w:t>
            </w:r>
          </w:p>
        </w:tc>
        <w:tc>
          <w:tcPr>
            <w:tcW w:w="4928" w:type="dxa"/>
          </w:tcPr>
          <w:p w14:paraId="1BD03DA0" w14:textId="77777777" w:rsidR="00293680" w:rsidRPr="00A65074" w:rsidRDefault="00293680" w:rsidP="009F68F3">
            <w:pPr>
              <w:pStyle w:val="NoSpacing"/>
              <w:jc w:val="both"/>
              <w:rPr>
                <w:rFonts w:asciiTheme="majorHAnsi" w:hAnsiTheme="majorHAnsi" w:cs="Times New Roman"/>
              </w:rPr>
            </w:pPr>
            <w:r w:rsidRPr="00A65074">
              <w:rPr>
                <w:rFonts w:asciiTheme="majorHAnsi" w:hAnsiTheme="majorHAnsi" w:cs="Times New Roman"/>
              </w:rPr>
              <w:t xml:space="preserve">Tiešsaistes lekcija </w:t>
            </w:r>
          </w:p>
          <w:p w14:paraId="1ED8E776"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“Zaļā publiskā iepirkuma aktualitātes”</w:t>
            </w:r>
          </w:p>
        </w:tc>
        <w:tc>
          <w:tcPr>
            <w:tcW w:w="1559" w:type="dxa"/>
          </w:tcPr>
          <w:p w14:paraId="02346686"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Māris Klismets</w:t>
            </w:r>
          </w:p>
        </w:tc>
      </w:tr>
      <w:tr w:rsidR="00293680" w:rsidRPr="00A65074" w14:paraId="441ABE00" w14:textId="77777777" w:rsidTr="009F68F3">
        <w:tc>
          <w:tcPr>
            <w:tcW w:w="983" w:type="dxa"/>
          </w:tcPr>
          <w:p w14:paraId="57123A3B" w14:textId="77777777" w:rsidR="00293680" w:rsidRPr="00A65074" w:rsidRDefault="00293680" w:rsidP="009F68F3">
            <w:pPr>
              <w:jc w:val="both"/>
              <w:rPr>
                <w:rFonts w:asciiTheme="majorHAnsi" w:hAnsiTheme="majorHAnsi"/>
                <w:sz w:val="22"/>
                <w:szCs w:val="22"/>
              </w:rPr>
            </w:pPr>
            <w:r w:rsidRPr="00A65074">
              <w:rPr>
                <w:rFonts w:asciiTheme="majorHAnsi" w:hAnsiTheme="majorHAnsi"/>
                <w:sz w:val="22"/>
                <w:szCs w:val="22"/>
              </w:rPr>
              <w:t>4</w:t>
            </w:r>
          </w:p>
        </w:tc>
        <w:tc>
          <w:tcPr>
            <w:tcW w:w="1597" w:type="dxa"/>
          </w:tcPr>
          <w:p w14:paraId="7150D973"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11.06.2025. 10:00 – 12:15</w:t>
            </w:r>
          </w:p>
        </w:tc>
        <w:tc>
          <w:tcPr>
            <w:tcW w:w="4928" w:type="dxa"/>
          </w:tcPr>
          <w:p w14:paraId="45B2FFD2" w14:textId="77777777" w:rsidR="00293680" w:rsidRPr="00A65074" w:rsidRDefault="00293680" w:rsidP="009F68F3">
            <w:pPr>
              <w:pStyle w:val="NoSpacing"/>
              <w:jc w:val="both"/>
              <w:rPr>
                <w:rFonts w:asciiTheme="majorHAnsi" w:hAnsiTheme="majorHAnsi" w:cs="Times New Roman"/>
              </w:rPr>
            </w:pPr>
            <w:r w:rsidRPr="00A65074">
              <w:rPr>
                <w:rFonts w:asciiTheme="majorHAnsi" w:hAnsiTheme="majorHAnsi" w:cs="Times New Roman"/>
              </w:rPr>
              <w:t xml:space="preserve">Tiešsaistes lekcija </w:t>
            </w:r>
          </w:p>
          <w:p w14:paraId="7F0CFC9E"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“Jaunā PVS un e – veidlapas”</w:t>
            </w:r>
          </w:p>
        </w:tc>
        <w:tc>
          <w:tcPr>
            <w:tcW w:w="1559" w:type="dxa"/>
          </w:tcPr>
          <w:p w14:paraId="304437BB"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Evija Mugina</w:t>
            </w:r>
          </w:p>
        </w:tc>
      </w:tr>
      <w:tr w:rsidR="00293680" w:rsidRPr="00A65074" w14:paraId="75F10A44" w14:textId="77777777" w:rsidTr="009F68F3">
        <w:tc>
          <w:tcPr>
            <w:tcW w:w="983" w:type="dxa"/>
          </w:tcPr>
          <w:p w14:paraId="50F7E143" w14:textId="77777777" w:rsidR="00293680" w:rsidRPr="00A65074" w:rsidRDefault="00293680" w:rsidP="009F68F3">
            <w:pPr>
              <w:jc w:val="both"/>
              <w:rPr>
                <w:rFonts w:asciiTheme="majorHAnsi" w:hAnsiTheme="majorHAnsi"/>
                <w:sz w:val="22"/>
                <w:szCs w:val="22"/>
              </w:rPr>
            </w:pPr>
            <w:r w:rsidRPr="00A65074">
              <w:rPr>
                <w:rFonts w:asciiTheme="majorHAnsi" w:hAnsiTheme="majorHAnsi"/>
                <w:sz w:val="22"/>
                <w:szCs w:val="22"/>
              </w:rPr>
              <w:t>5</w:t>
            </w:r>
          </w:p>
        </w:tc>
        <w:tc>
          <w:tcPr>
            <w:tcW w:w="1597" w:type="dxa"/>
          </w:tcPr>
          <w:p w14:paraId="5089AA52" w14:textId="6A0280D8"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1</w:t>
            </w:r>
            <w:r w:rsidR="004B2E05">
              <w:rPr>
                <w:rFonts w:asciiTheme="majorHAnsi" w:hAnsiTheme="majorHAnsi" w:cs="Times New Roman"/>
                <w:sz w:val="22"/>
                <w:szCs w:val="22"/>
              </w:rPr>
              <w:t>8</w:t>
            </w:r>
            <w:r w:rsidRPr="00A65074">
              <w:rPr>
                <w:rFonts w:asciiTheme="majorHAnsi" w:hAnsiTheme="majorHAnsi" w:cs="Times New Roman"/>
                <w:sz w:val="22"/>
                <w:szCs w:val="22"/>
              </w:rPr>
              <w:t>.09.2025. 10:00 – 12:15</w:t>
            </w:r>
          </w:p>
        </w:tc>
        <w:tc>
          <w:tcPr>
            <w:tcW w:w="4928" w:type="dxa"/>
          </w:tcPr>
          <w:p w14:paraId="4C57E39B" w14:textId="77777777" w:rsidR="00293680" w:rsidRPr="00A65074" w:rsidRDefault="00293680" w:rsidP="009F68F3">
            <w:pPr>
              <w:pStyle w:val="NoSpacing"/>
              <w:jc w:val="both"/>
              <w:rPr>
                <w:rFonts w:asciiTheme="majorHAnsi" w:hAnsiTheme="majorHAnsi" w:cs="Times New Roman"/>
              </w:rPr>
            </w:pPr>
            <w:r w:rsidRPr="00A65074">
              <w:rPr>
                <w:rFonts w:asciiTheme="majorHAnsi" w:hAnsiTheme="majorHAnsi" w:cs="Times New Roman"/>
              </w:rPr>
              <w:t xml:space="preserve">Tiešsaistes lekcija </w:t>
            </w:r>
          </w:p>
          <w:p w14:paraId="62C386A6"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“Biežāk pieļautās kļūdas ES fondu projektu iepirkumos”</w:t>
            </w:r>
          </w:p>
        </w:tc>
        <w:tc>
          <w:tcPr>
            <w:tcW w:w="1559" w:type="dxa"/>
          </w:tcPr>
          <w:p w14:paraId="02118A3D" w14:textId="50D57B42" w:rsidR="00293680" w:rsidRPr="00A65074" w:rsidRDefault="002A05D3" w:rsidP="009F68F3">
            <w:pPr>
              <w:jc w:val="both"/>
              <w:rPr>
                <w:rFonts w:asciiTheme="majorHAnsi" w:hAnsiTheme="majorHAnsi"/>
                <w:sz w:val="22"/>
                <w:szCs w:val="22"/>
              </w:rPr>
            </w:pPr>
            <w:r w:rsidRPr="002A05D3">
              <w:rPr>
                <w:rFonts w:asciiTheme="majorHAnsi" w:hAnsiTheme="majorHAnsi"/>
                <w:sz w:val="22"/>
                <w:szCs w:val="22"/>
              </w:rPr>
              <w:t>Aleksandra Rizojeva</w:t>
            </w:r>
            <w:r>
              <w:rPr>
                <w:rFonts w:asciiTheme="majorHAnsi" w:hAnsiTheme="majorHAnsi"/>
                <w:sz w:val="22"/>
                <w:szCs w:val="22"/>
              </w:rPr>
              <w:t xml:space="preserve"> </w:t>
            </w:r>
            <w:r w:rsidRPr="002A05D3">
              <w:rPr>
                <w:rFonts w:asciiTheme="majorHAnsi" w:hAnsiTheme="majorHAnsi"/>
                <w:sz w:val="22"/>
                <w:szCs w:val="22"/>
              </w:rPr>
              <w:t>– Silava</w:t>
            </w:r>
          </w:p>
        </w:tc>
      </w:tr>
      <w:tr w:rsidR="00293680" w:rsidRPr="00A65074" w14:paraId="164CFFE2" w14:textId="77777777" w:rsidTr="009F68F3">
        <w:tc>
          <w:tcPr>
            <w:tcW w:w="983" w:type="dxa"/>
          </w:tcPr>
          <w:p w14:paraId="296AC2A1" w14:textId="6A8DCCB7" w:rsidR="00293680" w:rsidRPr="00A65074" w:rsidRDefault="00B81B6A" w:rsidP="009F68F3">
            <w:pPr>
              <w:jc w:val="both"/>
              <w:rPr>
                <w:rFonts w:asciiTheme="majorHAnsi" w:hAnsiTheme="majorHAnsi"/>
                <w:sz w:val="22"/>
                <w:szCs w:val="22"/>
              </w:rPr>
            </w:pPr>
            <w:r>
              <w:rPr>
                <w:rFonts w:asciiTheme="majorHAnsi" w:hAnsiTheme="majorHAnsi"/>
                <w:sz w:val="22"/>
                <w:szCs w:val="22"/>
              </w:rPr>
              <w:t>6</w:t>
            </w:r>
          </w:p>
        </w:tc>
        <w:tc>
          <w:tcPr>
            <w:tcW w:w="1597" w:type="dxa"/>
          </w:tcPr>
          <w:p w14:paraId="7FB95F1F"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13.11.2025. 10:00 – 12:15</w:t>
            </w:r>
          </w:p>
        </w:tc>
        <w:tc>
          <w:tcPr>
            <w:tcW w:w="4928" w:type="dxa"/>
          </w:tcPr>
          <w:p w14:paraId="058327CB" w14:textId="77777777" w:rsidR="00293680" w:rsidRPr="00A65074" w:rsidRDefault="00293680" w:rsidP="009F68F3">
            <w:pPr>
              <w:jc w:val="both"/>
              <w:rPr>
                <w:rFonts w:asciiTheme="majorHAnsi" w:hAnsiTheme="majorHAnsi" w:cs="Times New Roman"/>
                <w:sz w:val="22"/>
                <w:szCs w:val="22"/>
              </w:rPr>
            </w:pPr>
            <w:r w:rsidRPr="00A65074">
              <w:rPr>
                <w:rFonts w:asciiTheme="majorHAnsi" w:hAnsiTheme="majorHAnsi" w:cs="Times New Roman"/>
                <w:sz w:val="22"/>
                <w:szCs w:val="22"/>
              </w:rPr>
              <w:t xml:space="preserve">Tiešsaistes lekcija </w:t>
            </w:r>
          </w:p>
          <w:p w14:paraId="139A5038"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“Iesniegumu izskatīšanas komisijas lēmumi un tiesas nolēmumi publisko iepirkumu jomā”</w:t>
            </w:r>
          </w:p>
        </w:tc>
        <w:tc>
          <w:tcPr>
            <w:tcW w:w="1559" w:type="dxa"/>
          </w:tcPr>
          <w:p w14:paraId="22043409"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Evija Mugina</w:t>
            </w:r>
          </w:p>
        </w:tc>
      </w:tr>
      <w:tr w:rsidR="00293680" w:rsidRPr="00A65074" w14:paraId="45FED265" w14:textId="77777777" w:rsidTr="009F68F3">
        <w:tc>
          <w:tcPr>
            <w:tcW w:w="983" w:type="dxa"/>
          </w:tcPr>
          <w:p w14:paraId="230146F0" w14:textId="02CFF5C8" w:rsidR="00293680" w:rsidRPr="00A65074" w:rsidRDefault="00B81B6A" w:rsidP="009F68F3">
            <w:pPr>
              <w:jc w:val="both"/>
              <w:rPr>
                <w:rFonts w:asciiTheme="majorHAnsi" w:hAnsiTheme="majorHAnsi"/>
                <w:sz w:val="22"/>
                <w:szCs w:val="22"/>
              </w:rPr>
            </w:pPr>
            <w:r>
              <w:rPr>
                <w:rFonts w:asciiTheme="majorHAnsi" w:hAnsiTheme="majorHAnsi"/>
                <w:sz w:val="22"/>
                <w:szCs w:val="22"/>
              </w:rPr>
              <w:t>7</w:t>
            </w:r>
          </w:p>
        </w:tc>
        <w:tc>
          <w:tcPr>
            <w:tcW w:w="1597" w:type="dxa"/>
          </w:tcPr>
          <w:p w14:paraId="030B23C2"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10.12.2025. 10:00 – 12:15</w:t>
            </w:r>
          </w:p>
        </w:tc>
        <w:tc>
          <w:tcPr>
            <w:tcW w:w="4928" w:type="dxa"/>
          </w:tcPr>
          <w:p w14:paraId="5D67704A" w14:textId="77777777" w:rsidR="00293680" w:rsidRPr="00A65074" w:rsidRDefault="00293680" w:rsidP="009F68F3">
            <w:pPr>
              <w:jc w:val="both"/>
              <w:rPr>
                <w:rFonts w:asciiTheme="majorHAnsi" w:hAnsiTheme="majorHAnsi" w:cs="Times New Roman"/>
                <w:sz w:val="22"/>
                <w:szCs w:val="22"/>
              </w:rPr>
            </w:pPr>
            <w:r w:rsidRPr="00A65074">
              <w:rPr>
                <w:rFonts w:asciiTheme="majorHAnsi" w:hAnsiTheme="majorHAnsi" w:cs="Times New Roman"/>
                <w:sz w:val="22"/>
                <w:szCs w:val="22"/>
              </w:rPr>
              <w:t xml:space="preserve">Tiešsaistes lekcija </w:t>
            </w:r>
          </w:p>
          <w:p w14:paraId="644BA42B"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“Publisko iepirkumu likuma piemērošanas prakses aktualitātes (u.c. aktualitātes)”</w:t>
            </w:r>
          </w:p>
        </w:tc>
        <w:tc>
          <w:tcPr>
            <w:tcW w:w="1559" w:type="dxa"/>
          </w:tcPr>
          <w:p w14:paraId="44E5FBEF" w14:textId="77777777" w:rsidR="00293680" w:rsidRPr="00A65074" w:rsidRDefault="00293680" w:rsidP="009F68F3">
            <w:pPr>
              <w:jc w:val="both"/>
              <w:rPr>
                <w:rFonts w:asciiTheme="majorHAnsi" w:hAnsiTheme="majorHAnsi"/>
                <w:sz w:val="22"/>
                <w:szCs w:val="22"/>
              </w:rPr>
            </w:pPr>
            <w:r w:rsidRPr="00A65074">
              <w:rPr>
                <w:rFonts w:asciiTheme="majorHAnsi" w:hAnsiTheme="majorHAnsi" w:cs="Times New Roman"/>
                <w:sz w:val="22"/>
                <w:szCs w:val="22"/>
              </w:rPr>
              <w:t>Monta Drebeiniece</w:t>
            </w:r>
          </w:p>
        </w:tc>
      </w:tr>
    </w:tbl>
    <w:p w14:paraId="5BDA4CF9" w14:textId="77777777" w:rsidR="00293680" w:rsidRPr="00A65074" w:rsidRDefault="00293680" w:rsidP="00293680">
      <w:pPr>
        <w:rPr>
          <w:rFonts w:asciiTheme="majorHAnsi" w:hAnsiTheme="majorHAnsi"/>
          <w:sz w:val="22"/>
          <w:szCs w:val="22"/>
        </w:rPr>
      </w:pPr>
      <w:r w:rsidRPr="00A65074">
        <w:rPr>
          <w:rFonts w:asciiTheme="majorHAnsi" w:hAnsiTheme="majorHAnsi"/>
          <w:sz w:val="22"/>
          <w:szCs w:val="22"/>
        </w:rPr>
        <w:t>*</w:t>
      </w:r>
      <w:r w:rsidRPr="00FF45B9">
        <w:rPr>
          <w:rFonts w:asciiTheme="majorHAnsi" w:hAnsiTheme="majorHAnsi"/>
          <w:sz w:val="22"/>
          <w:szCs w:val="22"/>
        </w:rPr>
        <w:t>Mācību norises grafikā ir iespējamas izmaiņas. </w:t>
      </w:r>
    </w:p>
    <w:p w14:paraId="60C7D5F4" w14:textId="77777777" w:rsidR="00293680" w:rsidRPr="00A65074" w:rsidRDefault="00293680" w:rsidP="00B91E54">
      <w:pPr>
        <w:ind w:right="-766"/>
        <w:jc w:val="both"/>
        <w:rPr>
          <w:rFonts w:asciiTheme="majorHAnsi" w:hAnsiTheme="majorHAnsi"/>
          <w:sz w:val="22"/>
          <w:szCs w:val="22"/>
        </w:rPr>
      </w:pPr>
      <w:r w:rsidRPr="00A65074">
        <w:rPr>
          <w:rFonts w:asciiTheme="majorHAnsi" w:hAnsiTheme="majorHAnsi"/>
          <w:sz w:val="22"/>
          <w:szCs w:val="22"/>
          <w:u w:val="thick"/>
        </w:rPr>
        <w:t>Padziļinātā līmeņa tiešsaistu mācību mērķgrupa</w:t>
      </w:r>
      <w:r w:rsidRPr="00A65074">
        <w:rPr>
          <w:rFonts w:asciiTheme="majorHAnsi" w:hAnsiTheme="majorHAnsi"/>
          <w:sz w:val="22"/>
          <w:szCs w:val="22"/>
        </w:rPr>
        <w:t>: iepirkuma veicējs valsts tiešās pārvaldes un pašvaldības iestādē. Informācija par tiešsaistes mācībām tiek sūtīta mācību dalībniekam individuāli uz e-pastu. </w:t>
      </w:r>
    </w:p>
    <w:p w14:paraId="6D67E840" w14:textId="77777777" w:rsidR="00293680" w:rsidRPr="00A65074" w:rsidRDefault="00293680" w:rsidP="00B91E54">
      <w:pPr>
        <w:pStyle w:val="ListParagraph"/>
        <w:numPr>
          <w:ilvl w:val="0"/>
          <w:numId w:val="1"/>
        </w:numPr>
        <w:spacing w:after="0"/>
        <w:ind w:right="-766"/>
        <w:jc w:val="both"/>
        <w:rPr>
          <w:rFonts w:asciiTheme="majorHAnsi" w:hAnsiTheme="majorHAnsi"/>
          <w:sz w:val="22"/>
          <w:szCs w:val="22"/>
        </w:rPr>
      </w:pPr>
      <w:r w:rsidRPr="00A65074">
        <w:rPr>
          <w:rStyle w:val="Strong"/>
          <w:rFonts w:asciiTheme="majorHAnsi" w:hAnsiTheme="majorHAnsi"/>
          <w:b w:val="0"/>
          <w:bCs w:val="0"/>
          <w:sz w:val="22"/>
          <w:szCs w:val="22"/>
        </w:rPr>
        <w:t>M</w:t>
      </w:r>
      <w:r w:rsidRPr="00A65074">
        <w:rPr>
          <w:rFonts w:asciiTheme="majorHAnsi" w:hAnsiTheme="majorHAnsi"/>
          <w:sz w:val="22"/>
          <w:szCs w:val="22"/>
        </w:rPr>
        <w:t xml:space="preserve">aksimālais dalībnieku skaits katrā padziļinātā līmeņa mācību programmas lekcijā ir ne lielāks kā 150 cilvēki. Par dalību tiešsaistes mācībās tiks izsniegti apliecinājumi. </w:t>
      </w:r>
    </w:p>
    <w:p w14:paraId="4645CDB2" w14:textId="77777777" w:rsidR="00293680" w:rsidRPr="00A65074" w:rsidRDefault="00293680" w:rsidP="00B91E54">
      <w:pPr>
        <w:pStyle w:val="ListParagraph"/>
        <w:numPr>
          <w:ilvl w:val="0"/>
          <w:numId w:val="1"/>
        </w:numPr>
        <w:spacing w:after="0"/>
        <w:ind w:right="-766"/>
        <w:jc w:val="both"/>
        <w:rPr>
          <w:rFonts w:asciiTheme="majorHAnsi" w:hAnsiTheme="majorHAnsi"/>
          <w:sz w:val="22"/>
          <w:szCs w:val="22"/>
        </w:rPr>
      </w:pPr>
      <w:r w:rsidRPr="00A65074">
        <w:rPr>
          <w:rFonts w:asciiTheme="majorHAnsi" w:hAnsiTheme="majorHAnsi"/>
          <w:sz w:val="22"/>
          <w:szCs w:val="22"/>
        </w:rPr>
        <w:t>Interesentiem, kuriem vietu ierobežojumu dēļ, tiek atteikta dalība padziļinātā līmeņa mācību programmas tiešsaistes lekcijā, tiek nodrošināta piekļuve lekcijas mācību materiālam un video ierakstam.</w:t>
      </w:r>
    </w:p>
    <w:p w14:paraId="781F8867" w14:textId="3431488B" w:rsidR="00ED098A" w:rsidRDefault="00293680" w:rsidP="00B91E54">
      <w:pPr>
        <w:pStyle w:val="NormalWeb"/>
        <w:numPr>
          <w:ilvl w:val="0"/>
          <w:numId w:val="1"/>
        </w:numPr>
        <w:spacing w:before="0" w:beforeAutospacing="0" w:after="0" w:afterAutospacing="0"/>
        <w:ind w:left="714" w:right="-766"/>
        <w:contextualSpacing/>
        <w:jc w:val="both"/>
      </w:pPr>
      <w:r w:rsidRPr="00A65074">
        <w:rPr>
          <w:rFonts w:asciiTheme="majorHAnsi" w:hAnsiTheme="majorHAnsi"/>
          <w:sz w:val="22"/>
          <w:szCs w:val="22"/>
        </w:rPr>
        <w:t>Visas mācību programmas padziļinātā līmeņa tiešsaistes lekcijas tiek ierakstītas. Piekļuve ierakstiem tiek nodrošināta līdz tekošā kalendārā gada 31. decembrim tiem dalībniekiem, kuri piedalījušies lekcijā, vai tiem interesentiem, kuriem vietu ierobežojuma dēļ, dalība lekcijā ir atteikta.</w:t>
      </w:r>
    </w:p>
    <w:sectPr w:rsidR="00ED09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55805"/>
    <w:multiLevelType w:val="hybridMultilevel"/>
    <w:tmpl w:val="ABB83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1547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80"/>
    <w:rsid w:val="00003430"/>
    <w:rsid w:val="000F1E3A"/>
    <w:rsid w:val="0026402D"/>
    <w:rsid w:val="00293680"/>
    <w:rsid w:val="002A05D3"/>
    <w:rsid w:val="00462518"/>
    <w:rsid w:val="004B2E05"/>
    <w:rsid w:val="00670DFF"/>
    <w:rsid w:val="00B81B6A"/>
    <w:rsid w:val="00B91E54"/>
    <w:rsid w:val="00D6100F"/>
    <w:rsid w:val="00ED0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8B59"/>
  <w15:chartTrackingRefBased/>
  <w15:docId w15:val="{E5046314-3B2D-4993-90A0-C33FBBB4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680"/>
  </w:style>
  <w:style w:type="paragraph" w:styleId="Heading1">
    <w:name w:val="heading 1"/>
    <w:basedOn w:val="Normal"/>
    <w:next w:val="Normal"/>
    <w:link w:val="Heading1Char"/>
    <w:uiPriority w:val="9"/>
    <w:qFormat/>
    <w:rsid w:val="00293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680"/>
    <w:rPr>
      <w:rFonts w:eastAsiaTheme="majorEastAsia" w:cstheme="majorBidi"/>
      <w:color w:val="272727" w:themeColor="text1" w:themeTint="D8"/>
    </w:rPr>
  </w:style>
  <w:style w:type="paragraph" w:styleId="Title">
    <w:name w:val="Title"/>
    <w:basedOn w:val="Normal"/>
    <w:next w:val="Normal"/>
    <w:link w:val="TitleChar"/>
    <w:uiPriority w:val="10"/>
    <w:qFormat/>
    <w:rsid w:val="00293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680"/>
    <w:pPr>
      <w:spacing w:before="160"/>
      <w:jc w:val="center"/>
    </w:pPr>
    <w:rPr>
      <w:i/>
      <w:iCs/>
      <w:color w:val="404040" w:themeColor="text1" w:themeTint="BF"/>
    </w:rPr>
  </w:style>
  <w:style w:type="character" w:customStyle="1" w:styleId="QuoteChar">
    <w:name w:val="Quote Char"/>
    <w:basedOn w:val="DefaultParagraphFont"/>
    <w:link w:val="Quote"/>
    <w:uiPriority w:val="29"/>
    <w:rsid w:val="00293680"/>
    <w:rPr>
      <w:i/>
      <w:iCs/>
      <w:color w:val="404040" w:themeColor="text1" w:themeTint="BF"/>
    </w:rPr>
  </w:style>
  <w:style w:type="paragraph" w:styleId="ListParagraph">
    <w:name w:val="List Paragraph"/>
    <w:basedOn w:val="Normal"/>
    <w:uiPriority w:val="34"/>
    <w:qFormat/>
    <w:rsid w:val="00293680"/>
    <w:pPr>
      <w:ind w:left="720"/>
      <w:contextualSpacing/>
    </w:pPr>
  </w:style>
  <w:style w:type="character" w:styleId="IntenseEmphasis">
    <w:name w:val="Intense Emphasis"/>
    <w:basedOn w:val="DefaultParagraphFont"/>
    <w:uiPriority w:val="21"/>
    <w:qFormat/>
    <w:rsid w:val="00293680"/>
    <w:rPr>
      <w:i/>
      <w:iCs/>
      <w:color w:val="0F4761" w:themeColor="accent1" w:themeShade="BF"/>
    </w:rPr>
  </w:style>
  <w:style w:type="paragraph" w:styleId="IntenseQuote">
    <w:name w:val="Intense Quote"/>
    <w:basedOn w:val="Normal"/>
    <w:next w:val="Normal"/>
    <w:link w:val="IntenseQuoteChar"/>
    <w:uiPriority w:val="30"/>
    <w:qFormat/>
    <w:rsid w:val="00293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680"/>
    <w:rPr>
      <w:i/>
      <w:iCs/>
      <w:color w:val="0F4761" w:themeColor="accent1" w:themeShade="BF"/>
    </w:rPr>
  </w:style>
  <w:style w:type="character" w:styleId="IntenseReference">
    <w:name w:val="Intense Reference"/>
    <w:basedOn w:val="DefaultParagraphFont"/>
    <w:uiPriority w:val="32"/>
    <w:qFormat/>
    <w:rsid w:val="00293680"/>
    <w:rPr>
      <w:b/>
      <w:bCs/>
      <w:smallCaps/>
      <w:color w:val="0F4761" w:themeColor="accent1" w:themeShade="BF"/>
      <w:spacing w:val="5"/>
    </w:rPr>
  </w:style>
  <w:style w:type="table" w:styleId="TableGrid">
    <w:name w:val="Table Grid"/>
    <w:basedOn w:val="TableNormal"/>
    <w:uiPriority w:val="39"/>
    <w:rsid w:val="0029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3680"/>
    <w:pPr>
      <w:spacing w:after="0" w:line="240" w:lineRule="auto"/>
    </w:pPr>
    <w:rPr>
      <w:sz w:val="22"/>
      <w:szCs w:val="22"/>
    </w:rPr>
  </w:style>
  <w:style w:type="character" w:styleId="Strong">
    <w:name w:val="Strong"/>
    <w:basedOn w:val="DefaultParagraphFont"/>
    <w:uiPriority w:val="22"/>
    <w:qFormat/>
    <w:rsid w:val="00293680"/>
    <w:rPr>
      <w:b/>
      <w:bCs/>
    </w:rPr>
  </w:style>
  <w:style w:type="paragraph" w:styleId="NormalWeb">
    <w:name w:val="Normal (Web)"/>
    <w:basedOn w:val="Normal"/>
    <w:uiPriority w:val="99"/>
    <w:unhideWhenUsed/>
    <w:rsid w:val="00293680"/>
    <w:pPr>
      <w:spacing w:before="100" w:beforeAutospacing="1" w:after="100" w:afterAutospacing="1" w:line="240" w:lineRule="auto"/>
    </w:pPr>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1338</Words>
  <Characters>764</Characters>
  <Application>Microsoft Office Word</Application>
  <DocSecurity>0</DocSecurity>
  <Lines>6</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Goba</dc:creator>
  <cp:keywords/>
  <dc:description/>
  <cp:lastModifiedBy>Ance Krišjāne</cp:lastModifiedBy>
  <cp:revision>5</cp:revision>
  <cp:lastPrinted>2025-01-29T08:24:00Z</cp:lastPrinted>
  <dcterms:created xsi:type="dcterms:W3CDTF">2025-01-29T08:23:00Z</dcterms:created>
  <dcterms:modified xsi:type="dcterms:W3CDTF">2025-08-26T14:04:00Z</dcterms:modified>
</cp:coreProperties>
</file>